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7C" w:rsidRDefault="00D3757C">
      <w:pPr>
        <w:pStyle w:val="Textoindependiente"/>
        <w:spacing w:before="8"/>
        <w:rPr>
          <w:rFonts w:ascii="Times New Roman"/>
          <w:sz w:val="16"/>
        </w:rPr>
      </w:pPr>
    </w:p>
    <w:p w:rsidR="00D3757C" w:rsidRDefault="00CB4616" w:rsidP="00CB4616">
      <w:pPr>
        <w:pStyle w:val="Ttulo1"/>
        <w:spacing w:before="94"/>
        <w:ind w:left="0" w:right="115"/>
        <w:jc w:val="right"/>
      </w:pPr>
      <w:r>
        <w:t>CI-005-050-</w:t>
      </w:r>
      <w:r w:rsidR="008F0896">
        <w:t>0</w:t>
      </w:r>
      <w:r w:rsidR="00F5468D">
        <w:t>48</w:t>
      </w:r>
    </w:p>
    <w:p w:rsidR="00CB4616" w:rsidRDefault="00CB4616" w:rsidP="00CB4616">
      <w:pPr>
        <w:pStyle w:val="Ttulo1"/>
        <w:spacing w:before="94"/>
        <w:ind w:left="0" w:right="115"/>
        <w:jc w:val="right"/>
        <w:rPr>
          <w:b w:val="0"/>
          <w:sz w:val="20"/>
        </w:rPr>
      </w:pPr>
    </w:p>
    <w:p w:rsidR="00D3757C" w:rsidRDefault="00CB4616">
      <w:pPr>
        <w:pStyle w:val="Textoindependiente"/>
        <w:spacing w:before="93"/>
        <w:ind w:left="302"/>
        <w:jc w:val="both"/>
      </w:pPr>
      <w:r>
        <w:t xml:space="preserve">Bucaramanga </w:t>
      </w:r>
      <w:r w:rsidR="00F929EF">
        <w:t>21</w:t>
      </w:r>
      <w:r>
        <w:t xml:space="preserve"> de </w:t>
      </w:r>
      <w:r w:rsidR="00201BDB">
        <w:t>agosto</w:t>
      </w:r>
      <w:r w:rsidR="004D468A">
        <w:t xml:space="preserve"> </w:t>
      </w:r>
      <w:r w:rsidR="00F457EA">
        <w:t>de 2019</w:t>
      </w:r>
    </w:p>
    <w:p w:rsidR="00D3757C" w:rsidRDefault="00D3757C">
      <w:pPr>
        <w:pStyle w:val="Textoindependiente"/>
        <w:rPr>
          <w:sz w:val="24"/>
        </w:rPr>
      </w:pPr>
    </w:p>
    <w:p w:rsidR="00D3757C" w:rsidRDefault="00D3757C">
      <w:pPr>
        <w:pStyle w:val="Textoindependiente"/>
        <w:rPr>
          <w:sz w:val="24"/>
        </w:rPr>
      </w:pPr>
    </w:p>
    <w:p w:rsidR="00D3757C" w:rsidRDefault="00D3757C">
      <w:pPr>
        <w:pStyle w:val="Textoindependiente"/>
        <w:rPr>
          <w:sz w:val="24"/>
        </w:rPr>
      </w:pPr>
    </w:p>
    <w:p w:rsidR="00D3757C" w:rsidRDefault="00305A36">
      <w:pPr>
        <w:pStyle w:val="Textoindependiente"/>
        <w:ind w:left="302"/>
        <w:jc w:val="both"/>
      </w:pPr>
      <w:r>
        <w:t>Doctora</w:t>
      </w:r>
    </w:p>
    <w:p w:rsidR="00D3757C" w:rsidRDefault="00CB4616">
      <w:pPr>
        <w:pStyle w:val="Ttulo1"/>
        <w:spacing w:before="35"/>
        <w:ind w:left="302"/>
        <w:jc w:val="both"/>
      </w:pPr>
      <w:r>
        <w:t>LILIAN SALGUERO</w:t>
      </w:r>
    </w:p>
    <w:p w:rsidR="00D3757C" w:rsidRDefault="00CB4616">
      <w:pPr>
        <w:pStyle w:val="Textoindependiente"/>
        <w:spacing w:before="40"/>
        <w:ind w:left="302"/>
        <w:jc w:val="both"/>
      </w:pPr>
      <w:r>
        <w:t>Gerente General</w:t>
      </w:r>
    </w:p>
    <w:p w:rsidR="00D3757C" w:rsidRDefault="00D3757C">
      <w:pPr>
        <w:pStyle w:val="Textoindependiente"/>
        <w:spacing w:before="5"/>
        <w:rPr>
          <w:sz w:val="28"/>
        </w:rPr>
      </w:pPr>
    </w:p>
    <w:p w:rsidR="00D3757C" w:rsidRDefault="00CB4616">
      <w:pPr>
        <w:pStyle w:val="Textoindependiente"/>
        <w:spacing w:before="1"/>
        <w:ind w:left="302"/>
        <w:jc w:val="both"/>
      </w:pPr>
      <w:r>
        <w:rPr>
          <w:b/>
        </w:rPr>
        <w:t xml:space="preserve">Asunto: </w:t>
      </w:r>
      <w:r>
        <w:t>Informe de austeridad en el</w:t>
      </w:r>
      <w:r w:rsidR="008F0896">
        <w:t xml:space="preserve"> gasto correspondiente al </w:t>
      </w:r>
      <w:r w:rsidR="006A3037">
        <w:t>segundo</w:t>
      </w:r>
      <w:r>
        <w:t xml:space="preserve"> trimestre de 201</w:t>
      </w:r>
      <w:r w:rsidR="006A3037">
        <w:t>9</w:t>
      </w:r>
      <w:r>
        <w:t>.</w:t>
      </w:r>
    </w:p>
    <w:p w:rsidR="00D3757C" w:rsidRDefault="00D3757C">
      <w:pPr>
        <w:pStyle w:val="Textoindependiente"/>
        <w:rPr>
          <w:sz w:val="24"/>
        </w:rPr>
      </w:pPr>
    </w:p>
    <w:p w:rsidR="00D3757C" w:rsidRDefault="00D3757C">
      <w:pPr>
        <w:pStyle w:val="Textoindependiente"/>
        <w:rPr>
          <w:sz w:val="24"/>
        </w:rPr>
      </w:pPr>
    </w:p>
    <w:p w:rsidR="00D3757C" w:rsidRDefault="00D3757C">
      <w:pPr>
        <w:pStyle w:val="Textoindependiente"/>
        <w:spacing w:before="5"/>
        <w:rPr>
          <w:sz w:val="31"/>
        </w:rPr>
      </w:pPr>
    </w:p>
    <w:p w:rsidR="00D3757C" w:rsidRDefault="00CB4616">
      <w:pPr>
        <w:pStyle w:val="Textoindependiente"/>
        <w:ind w:left="302"/>
        <w:jc w:val="both"/>
      </w:pPr>
      <w:r>
        <w:t>Cordial</w:t>
      </w:r>
      <w:r>
        <w:rPr>
          <w:spacing w:val="61"/>
        </w:rPr>
        <w:t xml:space="preserve"> </w:t>
      </w:r>
      <w:r>
        <w:t>Saludo,</w:t>
      </w:r>
    </w:p>
    <w:p w:rsidR="00D3757C" w:rsidRDefault="00D3757C">
      <w:pPr>
        <w:pStyle w:val="Textoindependiente"/>
        <w:rPr>
          <w:sz w:val="24"/>
        </w:rPr>
      </w:pPr>
    </w:p>
    <w:p w:rsidR="00D3757C" w:rsidRDefault="00D3757C">
      <w:pPr>
        <w:pStyle w:val="Textoindependiente"/>
        <w:spacing w:before="5"/>
        <w:rPr>
          <w:sz w:val="26"/>
        </w:rPr>
      </w:pPr>
    </w:p>
    <w:p w:rsidR="00D3757C" w:rsidRDefault="00CB4616">
      <w:pPr>
        <w:pStyle w:val="Textoindependiente"/>
        <w:ind w:left="302" w:right="115"/>
        <w:jc w:val="both"/>
      </w:pPr>
      <w:r>
        <w:t>La oficina de control interno rinde el informe de Austeridad del</w:t>
      </w:r>
      <w:r w:rsidR="008F0896">
        <w:t xml:space="preserve"> Gasto correspondiente al </w:t>
      </w:r>
      <w:r w:rsidR="00DA74B0">
        <w:t>segundo</w:t>
      </w:r>
      <w:r w:rsidR="00920270">
        <w:t xml:space="preserve"> </w:t>
      </w:r>
      <w:r>
        <w:t>trimestre del año 201</w:t>
      </w:r>
      <w:r w:rsidR="00DA74B0">
        <w:t>9</w:t>
      </w:r>
      <w:r>
        <w:t xml:space="preserve">, dando cumplimiento al decreto 1737 de 1998 y  Decreto 984 de 2012, que contempla en su Artículo 22: </w:t>
      </w:r>
      <w:r>
        <w:rPr>
          <w:b/>
        </w:rPr>
        <w:t>“</w:t>
      </w:r>
      <w:r>
        <w:t>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w:t>
      </w:r>
      <w:r>
        <w:rPr>
          <w:spacing w:val="-2"/>
        </w:rPr>
        <w:t xml:space="preserve"> </w:t>
      </w:r>
      <w:r>
        <w:t>respecto”.</w:t>
      </w:r>
    </w:p>
    <w:p w:rsidR="00D3757C" w:rsidRDefault="00D3757C">
      <w:pPr>
        <w:pStyle w:val="Textoindependiente"/>
        <w:rPr>
          <w:sz w:val="24"/>
        </w:rPr>
      </w:pPr>
    </w:p>
    <w:p w:rsidR="00D3757C" w:rsidRDefault="00D3757C">
      <w:pPr>
        <w:pStyle w:val="Textoindependiente"/>
        <w:rPr>
          <w:sz w:val="24"/>
        </w:rPr>
      </w:pPr>
    </w:p>
    <w:p w:rsidR="00D3757C" w:rsidRDefault="00D3757C">
      <w:pPr>
        <w:pStyle w:val="Textoindependiente"/>
        <w:rPr>
          <w:sz w:val="24"/>
        </w:rPr>
      </w:pPr>
    </w:p>
    <w:p w:rsidR="00D3757C" w:rsidRDefault="00D3757C">
      <w:pPr>
        <w:pStyle w:val="Textoindependiente"/>
        <w:spacing w:before="3"/>
        <w:rPr>
          <w:sz w:val="21"/>
        </w:rPr>
      </w:pPr>
    </w:p>
    <w:p w:rsidR="00D3757C" w:rsidRDefault="00CB4616">
      <w:pPr>
        <w:pStyle w:val="Textoindependiente"/>
        <w:ind w:left="302"/>
        <w:jc w:val="both"/>
      </w:pPr>
      <w:r>
        <w:t>Cordialmente,</w:t>
      </w:r>
    </w:p>
    <w:p w:rsidR="00D3757C" w:rsidRDefault="00D3757C">
      <w:pPr>
        <w:pStyle w:val="Textoindependiente"/>
        <w:rPr>
          <w:sz w:val="24"/>
        </w:rPr>
      </w:pPr>
    </w:p>
    <w:p w:rsidR="00D3757C" w:rsidRDefault="00D3757C">
      <w:pPr>
        <w:pStyle w:val="Textoindependiente"/>
        <w:rPr>
          <w:sz w:val="24"/>
        </w:rPr>
      </w:pPr>
    </w:p>
    <w:p w:rsidR="00D3757C" w:rsidRDefault="00D3757C">
      <w:pPr>
        <w:pStyle w:val="Textoindependiente"/>
        <w:rPr>
          <w:sz w:val="24"/>
        </w:rPr>
      </w:pPr>
    </w:p>
    <w:p w:rsidR="00D3757C" w:rsidRDefault="00D3757C">
      <w:pPr>
        <w:pStyle w:val="Textoindependiente"/>
        <w:rPr>
          <w:sz w:val="24"/>
        </w:rPr>
      </w:pPr>
    </w:p>
    <w:p w:rsidR="00D3757C" w:rsidRDefault="00D3757C">
      <w:pPr>
        <w:pStyle w:val="Textoindependiente"/>
        <w:spacing w:before="6"/>
        <w:rPr>
          <w:sz w:val="20"/>
        </w:rPr>
      </w:pPr>
    </w:p>
    <w:p w:rsidR="00D3757C" w:rsidRDefault="00CB4616">
      <w:pPr>
        <w:pStyle w:val="Ttulo1"/>
        <w:ind w:left="302"/>
        <w:jc w:val="both"/>
      </w:pPr>
      <w:r>
        <w:t xml:space="preserve">SANDRA PATRICIA MEJIA ABELLO </w:t>
      </w:r>
    </w:p>
    <w:p w:rsidR="00D3757C" w:rsidRDefault="00CB4616">
      <w:pPr>
        <w:pStyle w:val="Textoindependiente"/>
        <w:spacing w:before="40"/>
        <w:ind w:left="302"/>
        <w:jc w:val="both"/>
      </w:pPr>
      <w:r>
        <w:t>Jefe Oficina de Control Interno</w:t>
      </w:r>
    </w:p>
    <w:p w:rsidR="00880A8A" w:rsidRDefault="00880A8A">
      <w:pPr>
        <w:pStyle w:val="Textoindependiente"/>
        <w:spacing w:before="40"/>
        <w:ind w:left="302"/>
        <w:jc w:val="both"/>
      </w:pPr>
    </w:p>
    <w:p w:rsidR="00880A8A" w:rsidRDefault="00880A8A">
      <w:pPr>
        <w:pStyle w:val="Textoindependiente"/>
        <w:spacing w:before="40"/>
        <w:ind w:left="302"/>
        <w:jc w:val="both"/>
      </w:pPr>
    </w:p>
    <w:p w:rsidR="00D3757C" w:rsidRDefault="0047139A">
      <w:pPr>
        <w:spacing w:before="27"/>
        <w:ind w:left="302"/>
        <w:jc w:val="both"/>
        <w:rPr>
          <w:b/>
          <w:sz w:val="16"/>
        </w:rPr>
      </w:pPr>
      <w:r>
        <w:rPr>
          <w:b/>
          <w:sz w:val="16"/>
        </w:rPr>
        <w:t>Copia digital al Subgerente A</w:t>
      </w:r>
      <w:r w:rsidR="00CB4616">
        <w:rPr>
          <w:b/>
          <w:sz w:val="16"/>
        </w:rPr>
        <w:t xml:space="preserve">dministrativo E-MAIL: </w:t>
      </w:r>
      <w:hyperlink r:id="rId9">
        <w:r w:rsidR="00CB4616">
          <w:rPr>
            <w:b/>
            <w:sz w:val="16"/>
          </w:rPr>
          <w:t>administrativo@loteriasantander.gov.co</w:t>
        </w:r>
      </w:hyperlink>
    </w:p>
    <w:p w:rsidR="00D3757C" w:rsidRDefault="00D3757C">
      <w:pPr>
        <w:jc w:val="both"/>
        <w:rPr>
          <w:sz w:val="16"/>
        </w:rPr>
        <w:sectPr w:rsidR="00D3757C" w:rsidSect="00880A8A">
          <w:headerReference w:type="default" r:id="rId10"/>
          <w:footerReference w:type="default" r:id="rId11"/>
          <w:type w:val="continuous"/>
          <w:pgSz w:w="12240" w:h="15840" w:code="1"/>
          <w:pgMar w:top="1320" w:right="1580" w:bottom="1280" w:left="1400" w:header="553" w:footer="1089" w:gutter="0"/>
          <w:cols w:space="720"/>
          <w:docGrid w:linePitch="299"/>
        </w:sectPr>
      </w:pPr>
    </w:p>
    <w:p w:rsidR="00D3757C" w:rsidRDefault="00D3757C">
      <w:pPr>
        <w:pStyle w:val="Textoindependiente"/>
        <w:rPr>
          <w:b/>
          <w:sz w:val="20"/>
        </w:rPr>
      </w:pPr>
    </w:p>
    <w:p w:rsidR="00D3757C" w:rsidRDefault="00D3757C">
      <w:pPr>
        <w:pStyle w:val="Textoindependiente"/>
        <w:rPr>
          <w:b/>
          <w:sz w:val="20"/>
        </w:rPr>
      </w:pPr>
    </w:p>
    <w:p w:rsidR="00D3757C" w:rsidRDefault="00D3757C">
      <w:pPr>
        <w:pStyle w:val="Textoindependiente"/>
        <w:spacing w:before="5"/>
        <w:rPr>
          <w:b/>
          <w:sz w:val="27"/>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spacing w:before="11"/>
        <w:rPr>
          <w:b/>
          <w:sz w:val="18"/>
        </w:rPr>
      </w:pPr>
    </w:p>
    <w:p w:rsidR="00880A8A" w:rsidRDefault="00880A8A">
      <w:pPr>
        <w:ind w:left="2087" w:right="1907"/>
        <w:jc w:val="center"/>
        <w:rPr>
          <w:b/>
        </w:rPr>
      </w:pPr>
    </w:p>
    <w:p w:rsidR="00880A8A" w:rsidRDefault="00880A8A" w:rsidP="001E2CB2">
      <w:pPr>
        <w:ind w:right="1907"/>
        <w:jc w:val="center"/>
        <w:rPr>
          <w:b/>
        </w:rPr>
      </w:pPr>
    </w:p>
    <w:p w:rsidR="008C120F" w:rsidRDefault="001E2CB2" w:rsidP="00880A8A">
      <w:pPr>
        <w:pStyle w:val="Ttulo1"/>
        <w:spacing w:before="94"/>
        <w:ind w:left="0" w:right="-86"/>
        <w:jc w:val="right"/>
        <w:rPr>
          <w:sz w:val="36"/>
        </w:rPr>
      </w:pPr>
      <w:r>
        <w:rPr>
          <w:b w:val="0"/>
          <w:noProof/>
          <w:lang w:bidi="ar-SA"/>
        </w:rPr>
        <mc:AlternateContent>
          <mc:Choice Requires="wps">
            <w:drawing>
              <wp:anchor distT="0" distB="0" distL="114300" distR="114300" simplePos="0" relativeHeight="251659264" behindDoc="1" locked="0" layoutInCell="1" allowOverlap="1" wp14:anchorId="6FA235A1" wp14:editId="3CF06031">
                <wp:simplePos x="0" y="0"/>
                <wp:positionH relativeFrom="column">
                  <wp:posOffset>-776605</wp:posOffset>
                </wp:positionH>
                <wp:positionV relativeFrom="paragraph">
                  <wp:posOffset>93716</wp:posOffset>
                </wp:positionV>
                <wp:extent cx="7616825" cy="2561590"/>
                <wp:effectExtent l="0" t="0" r="22225" b="10160"/>
                <wp:wrapNone/>
                <wp:docPr id="9" name="9 Rectángulo"/>
                <wp:cNvGraphicFramePr/>
                <a:graphic xmlns:a="http://schemas.openxmlformats.org/drawingml/2006/main">
                  <a:graphicData uri="http://schemas.microsoft.com/office/word/2010/wordprocessingShape">
                    <wps:wsp>
                      <wps:cNvSpPr/>
                      <wps:spPr>
                        <a:xfrm>
                          <a:off x="0" y="0"/>
                          <a:ext cx="7616825" cy="2561590"/>
                        </a:xfrm>
                        <a:prstGeom prst="rect">
                          <a:avLst/>
                        </a:prstGeom>
                        <a:gradFill>
                          <a:gsLst>
                            <a:gs pos="0">
                              <a:schemeClr val="accent3">
                                <a:lumMod val="50000"/>
                              </a:schemeClr>
                            </a:gs>
                            <a:gs pos="50000">
                              <a:srgbClr val="9CB86E"/>
                            </a:gs>
                            <a:gs pos="100000">
                              <a:srgbClr val="156B13"/>
                            </a:gs>
                          </a:gsLst>
                          <a:lin ang="5400000" scaled="0"/>
                        </a:gra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6" style="position:absolute;margin-left:-61.15pt;margin-top:7.4pt;width:599.75pt;height:201.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" fillcolor="#4e6128 [1606]" strokecolor="#bfbfbf [2412]" strokeweight="2pt">
                <v:fill color2="#156b13" colors="0 #4f6228;.5 #9cb86e;1 #156b13" focus="100%" type="gradient">
                  <o:fill v:ext="view" type="gradientUnscaled"/>
                </v:fill>
              </v:rect>
            </w:pict>
          </mc:Fallback>
        </mc:AlternateContent>
      </w:r>
    </w:p>
    <w:p w:rsidR="00880A8A" w:rsidRPr="00920270" w:rsidRDefault="00880A8A" w:rsidP="001E2CB2">
      <w:pPr>
        <w:pStyle w:val="Ttulo1"/>
        <w:spacing w:before="94"/>
        <w:ind w:left="-567" w:right="-86"/>
        <w:rPr>
          <w:rFonts w:ascii="Arial Black" w:hAnsi="Arial Black"/>
          <w:color w:val="4F6228" w:themeColor="accent3" w:themeShade="80"/>
          <w:sz w:val="44"/>
        </w:rPr>
      </w:pPr>
      <w:r w:rsidRPr="00920270">
        <w:rPr>
          <w:rFonts w:ascii="Arial Black" w:hAnsi="Arial Black"/>
          <w:color w:val="4F6228" w:themeColor="accent3" w:themeShade="80"/>
          <w:sz w:val="44"/>
        </w:rPr>
        <w:t>INFORME DE AUSTERIDAD EN EL GASTO</w:t>
      </w:r>
    </w:p>
    <w:p w:rsidR="00D3757C" w:rsidRPr="00920270" w:rsidRDefault="00DA74B0" w:rsidP="001E2CB2">
      <w:pPr>
        <w:pStyle w:val="Ttulo1"/>
        <w:spacing w:before="94"/>
        <w:ind w:left="-567" w:right="1911"/>
        <w:rPr>
          <w:b w:val="0"/>
          <w:color w:val="4F6228" w:themeColor="accent3" w:themeShade="80"/>
          <w:sz w:val="24"/>
        </w:rPr>
      </w:pPr>
      <w:r>
        <w:rPr>
          <w:color w:val="4F6228" w:themeColor="accent3" w:themeShade="80"/>
          <w:sz w:val="24"/>
        </w:rPr>
        <w:t>SEGUNDO</w:t>
      </w:r>
      <w:r w:rsidR="00CB4616" w:rsidRPr="00920270">
        <w:rPr>
          <w:color w:val="4F6228" w:themeColor="accent3" w:themeShade="80"/>
          <w:sz w:val="24"/>
        </w:rPr>
        <w:t xml:space="preserve"> TRIMESTRE DE </w:t>
      </w:r>
      <w:r w:rsidR="00CB4616" w:rsidRPr="00920270">
        <w:rPr>
          <w:color w:val="4F6228" w:themeColor="accent3" w:themeShade="80"/>
          <w:sz w:val="36"/>
        </w:rPr>
        <w:t>201</w:t>
      </w:r>
      <w:r>
        <w:rPr>
          <w:color w:val="4F6228" w:themeColor="accent3" w:themeShade="80"/>
          <w:sz w:val="36"/>
        </w:rPr>
        <w:t>9</w:t>
      </w:r>
    </w:p>
    <w:p w:rsidR="00880A8A" w:rsidRDefault="00880A8A" w:rsidP="00880A8A">
      <w:pPr>
        <w:ind w:left="2087" w:right="1907"/>
        <w:jc w:val="center"/>
        <w:rPr>
          <w:b/>
        </w:rPr>
      </w:pPr>
    </w:p>
    <w:p w:rsidR="00880A8A" w:rsidRDefault="00880A8A" w:rsidP="00880A8A">
      <w:pPr>
        <w:ind w:left="2087" w:right="1905"/>
        <w:rPr>
          <w:b/>
        </w:rPr>
      </w:pPr>
    </w:p>
    <w:p w:rsidR="001E2CB2" w:rsidRPr="007305E2" w:rsidRDefault="001E2CB2" w:rsidP="001E2CB2">
      <w:pPr>
        <w:spacing w:before="38"/>
        <w:ind w:right="-86"/>
        <w:jc w:val="right"/>
        <w:rPr>
          <w:b/>
          <w:color w:val="943634" w:themeColor="accent2" w:themeShade="BF"/>
          <w:sz w:val="48"/>
        </w:rPr>
      </w:pPr>
      <w:r w:rsidRPr="007305E2">
        <w:rPr>
          <w:b/>
          <w:color w:val="943634" w:themeColor="accent2" w:themeShade="BF"/>
          <w:sz w:val="48"/>
        </w:rPr>
        <w:t>LOTERIA SANTANDER</w:t>
      </w:r>
    </w:p>
    <w:p w:rsidR="00880A8A" w:rsidRPr="007305E2" w:rsidRDefault="00880A8A" w:rsidP="001E2CB2">
      <w:pPr>
        <w:spacing w:before="38"/>
        <w:ind w:right="-86"/>
        <w:jc w:val="right"/>
        <w:rPr>
          <w:b/>
          <w:bCs/>
          <w:color w:val="943634" w:themeColor="accent2" w:themeShade="BF"/>
          <w:sz w:val="28"/>
        </w:rPr>
      </w:pPr>
      <w:r w:rsidRPr="007305E2">
        <w:rPr>
          <w:b/>
          <w:bCs/>
          <w:color w:val="943634" w:themeColor="accent2" w:themeShade="BF"/>
          <w:sz w:val="28"/>
        </w:rPr>
        <w:t xml:space="preserve">OFICINA ASESORA DE CONTROL </w:t>
      </w:r>
      <w:r w:rsidR="007305E2" w:rsidRPr="007305E2">
        <w:rPr>
          <w:b/>
          <w:bCs/>
          <w:color w:val="943634" w:themeColor="accent2" w:themeShade="BF"/>
          <w:sz w:val="28"/>
        </w:rPr>
        <w:t xml:space="preserve"> </w:t>
      </w:r>
      <w:r w:rsidRPr="007305E2">
        <w:rPr>
          <w:b/>
          <w:bCs/>
          <w:color w:val="943634" w:themeColor="accent2" w:themeShade="BF"/>
          <w:sz w:val="28"/>
        </w:rPr>
        <w:t>INTERNO</w:t>
      </w:r>
    </w:p>
    <w:p w:rsidR="00880A8A" w:rsidRPr="007305E2" w:rsidRDefault="00880A8A" w:rsidP="00880A8A">
      <w:pPr>
        <w:ind w:left="2087" w:right="1905"/>
        <w:rPr>
          <w:b/>
          <w:color w:val="943634" w:themeColor="accent2" w:themeShade="BF"/>
        </w:rPr>
      </w:pPr>
    </w:p>
    <w:p w:rsidR="00880A8A" w:rsidRDefault="00880A8A" w:rsidP="00880A8A">
      <w:pPr>
        <w:ind w:left="2087" w:right="1905"/>
        <w:rPr>
          <w:b/>
        </w:rPr>
      </w:pPr>
    </w:p>
    <w:p w:rsidR="00880A8A" w:rsidRPr="001E2CB2" w:rsidRDefault="00DA74B0" w:rsidP="001E2CB2">
      <w:pPr>
        <w:tabs>
          <w:tab w:val="left" w:pos="9214"/>
        </w:tabs>
        <w:ind w:left="2087" w:right="-86"/>
        <w:jc w:val="right"/>
        <w:rPr>
          <w:b/>
          <w:color w:val="4F6228" w:themeColor="accent3" w:themeShade="80"/>
        </w:rPr>
      </w:pPr>
      <w:r>
        <w:rPr>
          <w:b/>
          <w:color w:val="4F6228" w:themeColor="accent3" w:themeShade="80"/>
        </w:rPr>
        <w:t>JULIO</w:t>
      </w:r>
      <w:r w:rsidR="00880A8A" w:rsidRPr="001E2CB2">
        <w:rPr>
          <w:b/>
          <w:color w:val="4F6228" w:themeColor="accent3" w:themeShade="80"/>
        </w:rPr>
        <w:t xml:space="preserve"> DE </w:t>
      </w:r>
      <w:r>
        <w:rPr>
          <w:b/>
          <w:color w:val="4F6228" w:themeColor="accent3" w:themeShade="80"/>
          <w:sz w:val="24"/>
        </w:rPr>
        <w:t>2019</w:t>
      </w:r>
    </w:p>
    <w:p w:rsidR="00880A8A" w:rsidRDefault="00880A8A" w:rsidP="00880A8A">
      <w:pPr>
        <w:ind w:left="2087" w:right="1907"/>
        <w:jc w:val="center"/>
        <w:rPr>
          <w:b/>
          <w:sz w:val="24"/>
        </w:rPr>
      </w:pPr>
    </w:p>
    <w:p w:rsidR="00D3757C" w:rsidRDefault="00D3757C">
      <w:pPr>
        <w:pStyle w:val="Textoindependiente"/>
        <w:rPr>
          <w:b/>
          <w:sz w:val="24"/>
        </w:rPr>
      </w:pPr>
    </w:p>
    <w:p w:rsidR="00D3757C" w:rsidRDefault="007F7E86">
      <w:pPr>
        <w:pStyle w:val="Textoindependiente"/>
        <w:rPr>
          <w:b/>
          <w:sz w:val="24"/>
        </w:rPr>
      </w:pPr>
      <w:r>
        <w:rPr>
          <w:b/>
          <w:noProof/>
          <w:lang w:bidi="ar-SA"/>
        </w:rPr>
        <mc:AlternateContent>
          <mc:Choice Requires="wps">
            <w:drawing>
              <wp:anchor distT="0" distB="0" distL="114300" distR="114300" simplePos="0" relativeHeight="251661312" behindDoc="1" locked="0" layoutInCell="1" allowOverlap="1" wp14:anchorId="0FDDE583" wp14:editId="4EBA9713">
                <wp:simplePos x="0" y="0"/>
                <wp:positionH relativeFrom="column">
                  <wp:posOffset>-624205</wp:posOffset>
                </wp:positionH>
                <wp:positionV relativeFrom="paragraph">
                  <wp:posOffset>-2609850</wp:posOffset>
                </wp:positionV>
                <wp:extent cx="7616825" cy="2561590"/>
                <wp:effectExtent l="0" t="0" r="22225" b="10160"/>
                <wp:wrapNone/>
                <wp:docPr id="11" name="11 Rectángulo"/>
                <wp:cNvGraphicFramePr/>
                <a:graphic xmlns:a="http://schemas.openxmlformats.org/drawingml/2006/main">
                  <a:graphicData uri="http://schemas.microsoft.com/office/word/2010/wordprocessingShape">
                    <wps:wsp>
                      <wps:cNvSpPr/>
                      <wps:spPr>
                        <a:xfrm>
                          <a:off x="0" y="0"/>
                          <a:ext cx="7616825" cy="2561590"/>
                        </a:xfrm>
                        <a:prstGeom prst="rect">
                          <a:avLst/>
                        </a:prstGeom>
                        <a:solidFill>
                          <a:schemeClr val="bg1">
                            <a:lumMod val="95000"/>
                          </a:scheme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49.15pt;margin-top:-205.5pt;width:599.75pt;height:201.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" fillcolor="#f2f2f2 [3052]" strokecolor="#bfbfbf" strokeweight="2pt"/>
            </w:pict>
          </mc:Fallback>
        </mc:AlternateContent>
      </w: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rPr>
          <w:b/>
          <w:sz w:val="24"/>
        </w:rPr>
      </w:pPr>
    </w:p>
    <w:p w:rsidR="00D3757C" w:rsidRDefault="00D3757C">
      <w:pPr>
        <w:pStyle w:val="Textoindependiente"/>
        <w:spacing w:before="8"/>
        <w:rPr>
          <w:b/>
          <w:sz w:val="16"/>
        </w:rPr>
      </w:pPr>
    </w:p>
    <w:p w:rsidR="00D3757C" w:rsidRDefault="00CB4616">
      <w:pPr>
        <w:spacing w:before="94"/>
        <w:ind w:left="2087" w:right="1906"/>
        <w:jc w:val="center"/>
        <w:rPr>
          <w:b/>
        </w:rPr>
      </w:pPr>
      <w:r>
        <w:rPr>
          <w:b/>
        </w:rPr>
        <w:t>TABLA DE CONTENIDO</w:t>
      </w:r>
    </w:p>
    <w:p w:rsidR="00D3757C" w:rsidRDefault="00D3757C">
      <w:pPr>
        <w:pStyle w:val="Textoindependiente"/>
        <w:rPr>
          <w:b/>
          <w:sz w:val="20"/>
        </w:rPr>
      </w:pPr>
    </w:p>
    <w:p w:rsidR="00D3757C" w:rsidRDefault="00D3757C">
      <w:pPr>
        <w:pStyle w:val="Textoindependiente"/>
        <w:rPr>
          <w:b/>
          <w:sz w:val="20"/>
        </w:rPr>
      </w:pPr>
    </w:p>
    <w:p w:rsidR="00D3757C" w:rsidRDefault="00D3757C">
      <w:pPr>
        <w:pStyle w:val="Textoindependiente"/>
        <w:rPr>
          <w:b/>
          <w:sz w:val="20"/>
        </w:rPr>
      </w:pPr>
    </w:p>
    <w:p w:rsidR="00D3757C" w:rsidRDefault="00D3757C">
      <w:pPr>
        <w:pStyle w:val="Textoindependiente"/>
        <w:rPr>
          <w:b/>
          <w:sz w:val="20"/>
        </w:rPr>
      </w:pPr>
    </w:p>
    <w:p w:rsidR="00D3757C" w:rsidRDefault="00D3757C">
      <w:pPr>
        <w:pStyle w:val="Textoindependiente"/>
        <w:spacing w:before="2" w:after="1"/>
        <w:rPr>
          <w:b/>
          <w:sz w:val="25"/>
        </w:rPr>
      </w:pPr>
    </w:p>
    <w:tbl>
      <w:tblPr>
        <w:tblStyle w:val="TableNormal"/>
        <w:tblW w:w="0" w:type="auto"/>
        <w:tblInd w:w="102" w:type="dxa"/>
        <w:tblLayout w:type="fixed"/>
        <w:tblLook w:val="01E0" w:firstRow="1" w:lastRow="1" w:firstColumn="1" w:lastColumn="1" w:noHBand="0" w:noVBand="0"/>
      </w:tblPr>
      <w:tblGrid>
        <w:gridCol w:w="762"/>
        <w:gridCol w:w="8045"/>
      </w:tblGrid>
      <w:tr w:rsidR="00D3757C">
        <w:trPr>
          <w:trHeight w:val="269"/>
        </w:trPr>
        <w:tc>
          <w:tcPr>
            <w:tcW w:w="762" w:type="dxa"/>
          </w:tcPr>
          <w:p w:rsidR="00D3757C" w:rsidRDefault="00CB4616">
            <w:pPr>
              <w:pStyle w:val="TableParagraph"/>
              <w:spacing w:before="0" w:line="247" w:lineRule="exact"/>
              <w:ind w:left="200"/>
              <w:jc w:val="left"/>
            </w:pPr>
            <w:r>
              <w:t>1.</w:t>
            </w:r>
          </w:p>
        </w:tc>
        <w:tc>
          <w:tcPr>
            <w:tcW w:w="8045" w:type="dxa"/>
          </w:tcPr>
          <w:p w:rsidR="00D3757C" w:rsidRDefault="00CB4616">
            <w:pPr>
              <w:pStyle w:val="TableParagraph"/>
              <w:spacing w:before="0" w:line="247" w:lineRule="exact"/>
              <w:ind w:left="253"/>
              <w:jc w:val="left"/>
            </w:pPr>
            <w:r>
              <w:t>OBJETIVO</w:t>
            </w:r>
          </w:p>
        </w:tc>
      </w:tr>
      <w:tr w:rsidR="00D3757C">
        <w:trPr>
          <w:trHeight w:val="291"/>
        </w:trPr>
        <w:tc>
          <w:tcPr>
            <w:tcW w:w="762" w:type="dxa"/>
          </w:tcPr>
          <w:p w:rsidR="00D3757C" w:rsidRDefault="00CB4616">
            <w:pPr>
              <w:pStyle w:val="TableParagraph"/>
              <w:spacing w:before="16"/>
              <w:ind w:left="200"/>
              <w:jc w:val="left"/>
            </w:pPr>
            <w:r>
              <w:t>2.</w:t>
            </w:r>
          </w:p>
        </w:tc>
        <w:tc>
          <w:tcPr>
            <w:tcW w:w="8045" w:type="dxa"/>
          </w:tcPr>
          <w:p w:rsidR="00D3757C" w:rsidRDefault="00CB4616">
            <w:pPr>
              <w:pStyle w:val="TableParagraph"/>
              <w:spacing w:before="16"/>
              <w:ind w:left="253"/>
              <w:jc w:val="left"/>
            </w:pPr>
            <w:r>
              <w:t>FUNDAMENTO JURIDICO</w:t>
            </w:r>
          </w:p>
        </w:tc>
      </w:tr>
      <w:tr w:rsidR="00D3757C">
        <w:trPr>
          <w:trHeight w:val="290"/>
        </w:trPr>
        <w:tc>
          <w:tcPr>
            <w:tcW w:w="762" w:type="dxa"/>
          </w:tcPr>
          <w:p w:rsidR="00D3757C" w:rsidRDefault="00CB4616">
            <w:pPr>
              <w:pStyle w:val="TableParagraph"/>
              <w:spacing w:before="15"/>
              <w:ind w:left="200"/>
              <w:jc w:val="left"/>
            </w:pPr>
            <w:r>
              <w:t>3.</w:t>
            </w:r>
          </w:p>
        </w:tc>
        <w:tc>
          <w:tcPr>
            <w:tcW w:w="8045" w:type="dxa"/>
          </w:tcPr>
          <w:p w:rsidR="00D3757C" w:rsidRDefault="00CB4616">
            <w:pPr>
              <w:pStyle w:val="TableParagraph"/>
              <w:spacing w:before="15"/>
              <w:ind w:left="253"/>
              <w:jc w:val="left"/>
            </w:pPr>
            <w:r>
              <w:t>FUENTES DE INFORMACION</w:t>
            </w:r>
          </w:p>
        </w:tc>
      </w:tr>
      <w:tr w:rsidR="00D3757C">
        <w:trPr>
          <w:trHeight w:val="290"/>
        </w:trPr>
        <w:tc>
          <w:tcPr>
            <w:tcW w:w="762" w:type="dxa"/>
          </w:tcPr>
          <w:p w:rsidR="00D3757C" w:rsidRDefault="00CB4616">
            <w:pPr>
              <w:pStyle w:val="TableParagraph"/>
              <w:spacing w:before="15"/>
              <w:ind w:left="200"/>
              <w:jc w:val="left"/>
            </w:pPr>
            <w:r>
              <w:t>4.</w:t>
            </w:r>
          </w:p>
        </w:tc>
        <w:tc>
          <w:tcPr>
            <w:tcW w:w="8045" w:type="dxa"/>
          </w:tcPr>
          <w:p w:rsidR="00D3757C" w:rsidRDefault="00CB4616">
            <w:pPr>
              <w:pStyle w:val="TableParagraph"/>
              <w:spacing w:before="15"/>
              <w:ind w:left="253"/>
              <w:jc w:val="left"/>
            </w:pPr>
            <w:r>
              <w:t>ESTRUCTURA DEL INFORME Y METODOLOGIA</w:t>
            </w:r>
          </w:p>
        </w:tc>
      </w:tr>
      <w:tr w:rsidR="00D3757C">
        <w:trPr>
          <w:trHeight w:val="290"/>
        </w:trPr>
        <w:tc>
          <w:tcPr>
            <w:tcW w:w="762" w:type="dxa"/>
          </w:tcPr>
          <w:p w:rsidR="00D3757C" w:rsidRDefault="00CB4616">
            <w:pPr>
              <w:pStyle w:val="TableParagraph"/>
              <w:spacing w:before="15"/>
              <w:ind w:left="200"/>
              <w:jc w:val="left"/>
            </w:pPr>
            <w:r>
              <w:t>5.</w:t>
            </w:r>
          </w:p>
        </w:tc>
        <w:tc>
          <w:tcPr>
            <w:tcW w:w="8045" w:type="dxa"/>
          </w:tcPr>
          <w:p w:rsidR="00D3757C" w:rsidRDefault="00CB4616">
            <w:pPr>
              <w:pStyle w:val="TableParagraph"/>
              <w:spacing w:before="15"/>
              <w:ind w:left="253"/>
              <w:jc w:val="left"/>
            </w:pPr>
            <w:r>
              <w:t>GASTOS DE ADMINISTRACION DE PERSONAL DE PLANTA.</w:t>
            </w:r>
          </w:p>
        </w:tc>
      </w:tr>
      <w:tr w:rsidR="00D3757C">
        <w:trPr>
          <w:trHeight w:val="291"/>
        </w:trPr>
        <w:tc>
          <w:tcPr>
            <w:tcW w:w="762" w:type="dxa"/>
          </w:tcPr>
          <w:p w:rsidR="00D3757C" w:rsidRDefault="00CB4616">
            <w:pPr>
              <w:pStyle w:val="TableParagraph"/>
              <w:spacing w:before="15"/>
              <w:ind w:left="200"/>
              <w:jc w:val="left"/>
            </w:pPr>
            <w:r>
              <w:t>6.</w:t>
            </w:r>
          </w:p>
        </w:tc>
        <w:tc>
          <w:tcPr>
            <w:tcW w:w="8045" w:type="dxa"/>
          </w:tcPr>
          <w:p w:rsidR="00D3757C" w:rsidRDefault="00CB4616">
            <w:pPr>
              <w:pStyle w:val="TableParagraph"/>
              <w:spacing w:before="15"/>
              <w:ind w:left="253"/>
              <w:jc w:val="left"/>
            </w:pPr>
            <w:r>
              <w:t>GASTOS DE IMPRESOS PUBLICIDAD Y PUBLICACIONES.</w:t>
            </w:r>
          </w:p>
        </w:tc>
      </w:tr>
      <w:tr w:rsidR="00D3757C">
        <w:trPr>
          <w:trHeight w:val="291"/>
        </w:trPr>
        <w:tc>
          <w:tcPr>
            <w:tcW w:w="762" w:type="dxa"/>
          </w:tcPr>
          <w:p w:rsidR="00D3757C" w:rsidRDefault="00CB4616">
            <w:pPr>
              <w:pStyle w:val="TableParagraph"/>
              <w:spacing w:before="16"/>
              <w:ind w:left="200"/>
              <w:jc w:val="left"/>
            </w:pPr>
            <w:r>
              <w:t>7.</w:t>
            </w:r>
          </w:p>
        </w:tc>
        <w:tc>
          <w:tcPr>
            <w:tcW w:w="8045" w:type="dxa"/>
          </w:tcPr>
          <w:p w:rsidR="00D3757C" w:rsidRDefault="00CB4616">
            <w:pPr>
              <w:pStyle w:val="TableParagraph"/>
              <w:spacing w:before="16"/>
              <w:ind w:left="253"/>
              <w:jc w:val="left"/>
            </w:pPr>
            <w:r>
              <w:t>GASTOS DE MANTENIMIENTO DE BIENES Y SERVICIO DE VIGILANCIA</w:t>
            </w:r>
          </w:p>
        </w:tc>
      </w:tr>
      <w:tr w:rsidR="00D3757C">
        <w:trPr>
          <w:trHeight w:val="290"/>
        </w:trPr>
        <w:tc>
          <w:tcPr>
            <w:tcW w:w="762" w:type="dxa"/>
          </w:tcPr>
          <w:p w:rsidR="00D3757C" w:rsidRDefault="00CB4616">
            <w:pPr>
              <w:pStyle w:val="TableParagraph"/>
              <w:spacing w:before="15"/>
              <w:ind w:left="200"/>
              <w:jc w:val="left"/>
            </w:pPr>
            <w:r>
              <w:t>8.</w:t>
            </w:r>
          </w:p>
        </w:tc>
        <w:tc>
          <w:tcPr>
            <w:tcW w:w="8045" w:type="dxa"/>
          </w:tcPr>
          <w:p w:rsidR="00D3757C" w:rsidRDefault="00CB4616">
            <w:pPr>
              <w:pStyle w:val="TableParagraph"/>
              <w:spacing w:before="15"/>
              <w:ind w:left="253"/>
              <w:jc w:val="left"/>
            </w:pPr>
            <w:r>
              <w:t>GASTOS DE SERVICIOS PUBLICOS.</w:t>
            </w:r>
          </w:p>
        </w:tc>
      </w:tr>
      <w:tr w:rsidR="00D3757C">
        <w:trPr>
          <w:trHeight w:val="290"/>
        </w:trPr>
        <w:tc>
          <w:tcPr>
            <w:tcW w:w="762" w:type="dxa"/>
          </w:tcPr>
          <w:p w:rsidR="00D3757C" w:rsidRDefault="00CB4616">
            <w:pPr>
              <w:pStyle w:val="TableParagraph"/>
              <w:spacing w:before="15"/>
              <w:ind w:left="200"/>
              <w:jc w:val="left"/>
            </w:pPr>
            <w:r>
              <w:t>8.1</w:t>
            </w:r>
          </w:p>
        </w:tc>
        <w:tc>
          <w:tcPr>
            <w:tcW w:w="8045" w:type="dxa"/>
          </w:tcPr>
          <w:p w:rsidR="00D3757C" w:rsidRDefault="00CB4616">
            <w:pPr>
              <w:pStyle w:val="TableParagraph"/>
              <w:spacing w:before="15"/>
              <w:ind w:left="253"/>
              <w:jc w:val="left"/>
            </w:pPr>
            <w:r>
              <w:t>CONSUMO DE AGUA</w:t>
            </w:r>
          </w:p>
        </w:tc>
      </w:tr>
      <w:tr w:rsidR="00D3757C">
        <w:trPr>
          <w:trHeight w:val="291"/>
        </w:trPr>
        <w:tc>
          <w:tcPr>
            <w:tcW w:w="762" w:type="dxa"/>
          </w:tcPr>
          <w:p w:rsidR="00D3757C" w:rsidRDefault="00CB4616">
            <w:pPr>
              <w:pStyle w:val="TableParagraph"/>
              <w:spacing w:before="15"/>
              <w:ind w:left="200"/>
              <w:jc w:val="left"/>
            </w:pPr>
            <w:r>
              <w:t>8.2</w:t>
            </w:r>
          </w:p>
        </w:tc>
        <w:tc>
          <w:tcPr>
            <w:tcW w:w="8045" w:type="dxa"/>
          </w:tcPr>
          <w:p w:rsidR="00D3757C" w:rsidRDefault="00CB4616">
            <w:pPr>
              <w:pStyle w:val="TableParagraph"/>
              <w:spacing w:before="15"/>
              <w:ind w:left="253"/>
              <w:jc w:val="left"/>
            </w:pPr>
            <w:r>
              <w:t>CONSUMO DE ENERGIA ELECTRICA</w:t>
            </w:r>
          </w:p>
        </w:tc>
      </w:tr>
      <w:tr w:rsidR="00D3757C">
        <w:trPr>
          <w:trHeight w:val="291"/>
        </w:trPr>
        <w:tc>
          <w:tcPr>
            <w:tcW w:w="762" w:type="dxa"/>
          </w:tcPr>
          <w:p w:rsidR="00D3757C" w:rsidRDefault="00CB4616">
            <w:pPr>
              <w:pStyle w:val="TableParagraph"/>
              <w:spacing w:before="16"/>
              <w:ind w:left="200"/>
              <w:jc w:val="left"/>
            </w:pPr>
            <w:r>
              <w:t>8.3</w:t>
            </w:r>
          </w:p>
        </w:tc>
        <w:tc>
          <w:tcPr>
            <w:tcW w:w="8045" w:type="dxa"/>
          </w:tcPr>
          <w:p w:rsidR="00D3757C" w:rsidRDefault="00CB4616">
            <w:pPr>
              <w:pStyle w:val="TableParagraph"/>
              <w:spacing w:before="16"/>
              <w:ind w:left="253"/>
              <w:jc w:val="left"/>
            </w:pPr>
            <w:r>
              <w:t>CONSUMO DE TELEFONÍA MÓVIL Y FIJA.</w:t>
            </w:r>
          </w:p>
        </w:tc>
      </w:tr>
      <w:tr w:rsidR="00D3757C">
        <w:trPr>
          <w:trHeight w:val="290"/>
        </w:trPr>
        <w:tc>
          <w:tcPr>
            <w:tcW w:w="762" w:type="dxa"/>
          </w:tcPr>
          <w:p w:rsidR="00D3757C" w:rsidRDefault="00CB4616">
            <w:pPr>
              <w:pStyle w:val="TableParagraph"/>
              <w:spacing w:before="15"/>
              <w:ind w:left="200"/>
              <w:jc w:val="left"/>
            </w:pPr>
            <w:r>
              <w:t>9.</w:t>
            </w:r>
          </w:p>
        </w:tc>
        <w:tc>
          <w:tcPr>
            <w:tcW w:w="8045" w:type="dxa"/>
          </w:tcPr>
          <w:p w:rsidR="00D3757C" w:rsidRDefault="00CB4616">
            <w:pPr>
              <w:pStyle w:val="TableParagraph"/>
              <w:spacing w:before="15"/>
              <w:ind w:left="253"/>
              <w:jc w:val="left"/>
            </w:pPr>
            <w:r>
              <w:t>CONCLUSIONES Y RECOMENDACIONES</w:t>
            </w:r>
          </w:p>
        </w:tc>
      </w:tr>
      <w:tr w:rsidR="00D3757C">
        <w:trPr>
          <w:trHeight w:val="290"/>
        </w:trPr>
        <w:tc>
          <w:tcPr>
            <w:tcW w:w="762" w:type="dxa"/>
          </w:tcPr>
          <w:p w:rsidR="00D3757C" w:rsidRDefault="00D3757C">
            <w:pPr>
              <w:pStyle w:val="TableParagraph"/>
              <w:spacing w:before="0"/>
              <w:jc w:val="left"/>
              <w:rPr>
                <w:rFonts w:ascii="Times New Roman"/>
                <w:sz w:val="20"/>
              </w:rPr>
            </w:pPr>
          </w:p>
        </w:tc>
        <w:tc>
          <w:tcPr>
            <w:tcW w:w="8045" w:type="dxa"/>
          </w:tcPr>
          <w:p w:rsidR="00D3757C" w:rsidRDefault="00D3757C">
            <w:pPr>
              <w:pStyle w:val="TableParagraph"/>
              <w:spacing w:before="15"/>
              <w:ind w:left="253"/>
              <w:jc w:val="left"/>
            </w:pPr>
          </w:p>
        </w:tc>
      </w:tr>
      <w:tr w:rsidR="00D3757C">
        <w:trPr>
          <w:trHeight w:val="268"/>
        </w:trPr>
        <w:tc>
          <w:tcPr>
            <w:tcW w:w="762" w:type="dxa"/>
          </w:tcPr>
          <w:p w:rsidR="00D3757C" w:rsidRDefault="00D3757C">
            <w:pPr>
              <w:pStyle w:val="TableParagraph"/>
              <w:spacing w:before="0"/>
              <w:jc w:val="left"/>
              <w:rPr>
                <w:rFonts w:ascii="Times New Roman"/>
                <w:sz w:val="18"/>
              </w:rPr>
            </w:pPr>
          </w:p>
        </w:tc>
        <w:tc>
          <w:tcPr>
            <w:tcW w:w="8045" w:type="dxa"/>
          </w:tcPr>
          <w:p w:rsidR="00D3757C" w:rsidRDefault="00D3757C">
            <w:pPr>
              <w:pStyle w:val="TableParagraph"/>
              <w:spacing w:before="15" w:line="233" w:lineRule="exact"/>
              <w:ind w:left="253"/>
              <w:jc w:val="left"/>
            </w:pPr>
          </w:p>
        </w:tc>
      </w:tr>
    </w:tbl>
    <w:p w:rsidR="00D3757C" w:rsidRDefault="00D3757C">
      <w:pPr>
        <w:spacing w:line="233" w:lineRule="exact"/>
        <w:sectPr w:rsidR="00D3757C" w:rsidSect="007305E2">
          <w:pgSz w:w="12240" w:h="15840" w:code="1"/>
          <w:pgMar w:top="1320" w:right="1580" w:bottom="1280" w:left="1400" w:header="553" w:footer="1089" w:gutter="0"/>
          <w:cols w:space="720"/>
          <w:docGrid w:linePitch="299"/>
        </w:sectPr>
      </w:pPr>
    </w:p>
    <w:p w:rsidR="00D3757C" w:rsidRDefault="00D3757C">
      <w:pPr>
        <w:pStyle w:val="Textoindependiente"/>
        <w:spacing w:before="8"/>
        <w:rPr>
          <w:b/>
          <w:sz w:val="16"/>
        </w:rPr>
      </w:pPr>
    </w:p>
    <w:p w:rsidR="00D3757C" w:rsidRDefault="00CB4616" w:rsidP="00066B3C">
      <w:pPr>
        <w:pStyle w:val="Prrafodelista"/>
        <w:numPr>
          <w:ilvl w:val="0"/>
          <w:numId w:val="3"/>
        </w:numPr>
        <w:tabs>
          <w:tab w:val="left" w:pos="1009"/>
          <w:tab w:val="left" w:pos="1010"/>
        </w:tabs>
        <w:rPr>
          <w:b/>
        </w:rPr>
      </w:pPr>
      <w:r>
        <w:rPr>
          <w:b/>
        </w:rPr>
        <w:t>OBJETIVO</w:t>
      </w:r>
    </w:p>
    <w:p w:rsidR="00D3757C" w:rsidRDefault="00D3757C" w:rsidP="00066B3C">
      <w:pPr>
        <w:pStyle w:val="Textoindependiente"/>
        <w:jc w:val="both"/>
        <w:rPr>
          <w:b/>
          <w:sz w:val="28"/>
        </w:rPr>
      </w:pPr>
    </w:p>
    <w:p w:rsidR="00591FE8" w:rsidRDefault="00591FE8" w:rsidP="00066B3C">
      <w:pPr>
        <w:jc w:val="both"/>
      </w:pPr>
      <w:r w:rsidRPr="009B4B87">
        <w:t xml:space="preserve">El Sistema de Control Interno tiene como propósito fundamental lograr la eficiencia, eficacia y transparencia en el ejercicio de las funciones de las entidades que conforman el Estado Colombiano. Por lo anterior la Oficina de Control Interno presenta el informe </w:t>
      </w:r>
      <w:r>
        <w:t xml:space="preserve">de “Austeridad y Eficiencia del Gasto Público”, </w:t>
      </w:r>
      <w:r w:rsidRPr="009B4B87">
        <w:t>correspondiente</w:t>
      </w:r>
      <w:r w:rsidR="00920270">
        <w:t xml:space="preserve"> al </w:t>
      </w:r>
      <w:r w:rsidR="005A2F75">
        <w:t>segundo</w:t>
      </w:r>
      <w:r w:rsidRPr="00F052A3">
        <w:t xml:space="preserve"> trimestre de 201</w:t>
      </w:r>
      <w:r w:rsidR="005A2F75">
        <w:t>9</w:t>
      </w:r>
      <w:r w:rsidRPr="00F052A3">
        <w:t xml:space="preserve"> comparado con el mismo periodo de la vigencia 201</w:t>
      </w:r>
      <w:r w:rsidR="005A2F75">
        <w:t>7 y 2018</w:t>
      </w:r>
      <w:r w:rsidRPr="00F052A3">
        <w:t>, el cual mu</w:t>
      </w:r>
      <w:r w:rsidRPr="000A5B35">
        <w:t>estra</w:t>
      </w:r>
      <w:r w:rsidRPr="009B4B87">
        <w:t xml:space="preserve"> un análisis sobre la evolución de los gastos sometidos a política de austeridad</w:t>
      </w:r>
      <w:r w:rsidR="00C93AFD">
        <w:t xml:space="preserve"> de</w:t>
      </w:r>
      <w:r w:rsidR="00920270">
        <w:t xml:space="preserve"> la </w:t>
      </w:r>
      <w:r w:rsidR="00C93AFD">
        <w:t>Empresa Industrial y Comercial del Estado Lotería Santander.</w:t>
      </w:r>
      <w:r>
        <w:t xml:space="preserve">  </w:t>
      </w:r>
    </w:p>
    <w:p w:rsidR="00C93AFD" w:rsidRDefault="00C93AFD" w:rsidP="00066B3C">
      <w:pPr>
        <w:jc w:val="both"/>
      </w:pPr>
    </w:p>
    <w:p w:rsidR="00066B3C" w:rsidRPr="009B4B87" w:rsidRDefault="00066B3C" w:rsidP="00066B3C">
      <w:pPr>
        <w:jc w:val="both"/>
      </w:pPr>
    </w:p>
    <w:p w:rsidR="00D3757C" w:rsidRDefault="00CB4616" w:rsidP="00066B3C">
      <w:pPr>
        <w:pStyle w:val="Ttulo1"/>
        <w:numPr>
          <w:ilvl w:val="0"/>
          <w:numId w:val="3"/>
        </w:numPr>
        <w:tabs>
          <w:tab w:val="left" w:pos="1009"/>
          <w:tab w:val="left" w:pos="1010"/>
        </w:tabs>
      </w:pPr>
      <w:r>
        <w:t>FUNDAMENTO</w:t>
      </w:r>
      <w:r>
        <w:rPr>
          <w:spacing w:val="1"/>
        </w:rPr>
        <w:t xml:space="preserve"> </w:t>
      </w:r>
      <w:r>
        <w:t>JURIDICO</w:t>
      </w:r>
    </w:p>
    <w:p w:rsidR="00066B3C" w:rsidRDefault="00066B3C" w:rsidP="00066B3C">
      <w:pPr>
        <w:pStyle w:val="Ttulo1"/>
        <w:tabs>
          <w:tab w:val="left" w:pos="1009"/>
          <w:tab w:val="left" w:pos="1010"/>
        </w:tabs>
        <w:ind w:left="1010"/>
      </w:pPr>
    </w:p>
    <w:p w:rsidR="00D3757C" w:rsidRDefault="00CB4616" w:rsidP="00066B3C">
      <w:pPr>
        <w:pStyle w:val="Prrafodelista"/>
        <w:numPr>
          <w:ilvl w:val="0"/>
          <w:numId w:val="2"/>
        </w:numPr>
        <w:tabs>
          <w:tab w:val="left" w:pos="1021"/>
          <w:tab w:val="left" w:pos="1022"/>
        </w:tabs>
      </w:pPr>
      <w:r>
        <w:t>Constitución Política de Colombia de 1991 artículos 209, 339 y</w:t>
      </w:r>
      <w:r>
        <w:rPr>
          <w:spacing w:val="-9"/>
        </w:rPr>
        <w:t xml:space="preserve"> </w:t>
      </w:r>
      <w:r>
        <w:t>346.</w:t>
      </w:r>
    </w:p>
    <w:p w:rsidR="00D3757C" w:rsidRDefault="00CB4616" w:rsidP="00066B3C">
      <w:pPr>
        <w:pStyle w:val="Prrafodelista"/>
        <w:numPr>
          <w:ilvl w:val="0"/>
          <w:numId w:val="2"/>
        </w:numPr>
        <w:tabs>
          <w:tab w:val="left" w:pos="1021"/>
          <w:tab w:val="left" w:pos="1022"/>
        </w:tabs>
      </w:pPr>
      <w:r>
        <w:t>Decreto Nacional 1737 del 21 de Agosto de</w:t>
      </w:r>
      <w:r>
        <w:rPr>
          <w:spacing w:val="-7"/>
        </w:rPr>
        <w:t xml:space="preserve"> </w:t>
      </w:r>
      <w:r>
        <w:t>1998.</w:t>
      </w:r>
    </w:p>
    <w:p w:rsidR="00D3757C" w:rsidRDefault="00CB4616" w:rsidP="00066B3C">
      <w:pPr>
        <w:pStyle w:val="Prrafodelista"/>
        <w:numPr>
          <w:ilvl w:val="0"/>
          <w:numId w:val="2"/>
        </w:numPr>
        <w:tabs>
          <w:tab w:val="left" w:pos="1021"/>
          <w:tab w:val="left" w:pos="1022"/>
        </w:tabs>
        <w:ind w:right="116"/>
      </w:pPr>
      <w:r>
        <w:t>Decreto Nacional 2209 de 1998 (modifica el artículo primero del Decreto 1737 de 1998).</w:t>
      </w:r>
    </w:p>
    <w:p w:rsidR="00D3757C" w:rsidRDefault="00CB4616" w:rsidP="00066B3C">
      <w:pPr>
        <w:pStyle w:val="Prrafodelista"/>
        <w:numPr>
          <w:ilvl w:val="0"/>
          <w:numId w:val="2"/>
        </w:numPr>
        <w:tabs>
          <w:tab w:val="left" w:pos="1021"/>
          <w:tab w:val="left" w:pos="1022"/>
        </w:tabs>
        <w:ind w:right="123"/>
      </w:pPr>
      <w:r>
        <w:t>Decreto Nacional 0984 de del 14 de Mayo de 2012 (modifica el artículo 22 del Decreto 1737 de</w:t>
      </w:r>
      <w:r>
        <w:rPr>
          <w:spacing w:val="-4"/>
        </w:rPr>
        <w:t xml:space="preserve"> </w:t>
      </w:r>
      <w:r>
        <w:t>1998).</w:t>
      </w:r>
    </w:p>
    <w:p w:rsidR="00066B3C" w:rsidRDefault="00066B3C" w:rsidP="00066B3C">
      <w:pPr>
        <w:pStyle w:val="Prrafodelista"/>
        <w:tabs>
          <w:tab w:val="left" w:pos="1021"/>
          <w:tab w:val="left" w:pos="1022"/>
        </w:tabs>
        <w:ind w:left="1022" w:right="123" w:firstLine="0"/>
      </w:pPr>
    </w:p>
    <w:p w:rsidR="00D3757C" w:rsidRDefault="00D3757C" w:rsidP="00066B3C">
      <w:pPr>
        <w:pStyle w:val="Textoindependiente"/>
        <w:rPr>
          <w:sz w:val="24"/>
        </w:rPr>
      </w:pPr>
    </w:p>
    <w:p w:rsidR="00D3757C" w:rsidRDefault="00CB4616" w:rsidP="00066B3C">
      <w:pPr>
        <w:pStyle w:val="Ttulo1"/>
        <w:numPr>
          <w:ilvl w:val="0"/>
          <w:numId w:val="3"/>
        </w:numPr>
        <w:tabs>
          <w:tab w:val="left" w:pos="1009"/>
          <w:tab w:val="left" w:pos="1010"/>
        </w:tabs>
      </w:pPr>
      <w:r>
        <w:t>FUENTES DE</w:t>
      </w:r>
      <w:r>
        <w:rPr>
          <w:spacing w:val="-1"/>
        </w:rPr>
        <w:t xml:space="preserve"> </w:t>
      </w:r>
      <w:r>
        <w:t>INFORMACION.</w:t>
      </w:r>
    </w:p>
    <w:p w:rsidR="00D3757C" w:rsidRDefault="00D3757C" w:rsidP="00066B3C">
      <w:pPr>
        <w:pStyle w:val="Textoindependiente"/>
        <w:rPr>
          <w:b/>
          <w:sz w:val="28"/>
        </w:rPr>
      </w:pPr>
    </w:p>
    <w:p w:rsidR="00D3757C" w:rsidRDefault="00CB4616" w:rsidP="00066B3C">
      <w:pPr>
        <w:pStyle w:val="Textoindependiente"/>
        <w:ind w:left="302" w:right="113"/>
        <w:jc w:val="both"/>
      </w:pPr>
      <w:r>
        <w:t>Las fuentes de información utilizadas para la preparación del presente informe provienen de la Subgerencia Administrativa de la entidad quien mensual</w:t>
      </w:r>
      <w:r w:rsidR="00546BDC">
        <w:t>mente</w:t>
      </w:r>
      <w:r>
        <w:t xml:space="preserve"> envía los soportes de gastos de nómina, servicios personales, teléfonos, comunicaciones, servicios públicos, contratación de mantenimiento de bienes y la prestación de servicios de vigilancia y aseo. Otras fuentes de información provienen de </w:t>
      </w:r>
      <w:r w:rsidR="00546BDC" w:rsidRPr="009B4B87">
        <w:t>la ejecución presupuestal</w:t>
      </w:r>
      <w:r w:rsidR="00546BDC">
        <w:t xml:space="preserve">, </w:t>
      </w:r>
      <w:r>
        <w:t>los estados financieros suministrados</w:t>
      </w:r>
      <w:r w:rsidR="00920270">
        <w:t xml:space="preserve"> por la Subgerencia Financiera.</w:t>
      </w:r>
    </w:p>
    <w:p w:rsidR="00D3757C" w:rsidRDefault="00D3757C" w:rsidP="00066B3C">
      <w:pPr>
        <w:pStyle w:val="Textoindependiente"/>
        <w:rPr>
          <w:sz w:val="24"/>
        </w:rPr>
      </w:pPr>
    </w:p>
    <w:p w:rsidR="00D3757C" w:rsidRDefault="00CB4616" w:rsidP="00066B3C">
      <w:pPr>
        <w:pStyle w:val="Ttulo1"/>
        <w:numPr>
          <w:ilvl w:val="0"/>
          <w:numId w:val="3"/>
        </w:numPr>
        <w:tabs>
          <w:tab w:val="left" w:pos="1009"/>
          <w:tab w:val="left" w:pos="1010"/>
        </w:tabs>
        <w:rPr>
          <w:b w:val="0"/>
        </w:rPr>
      </w:pPr>
      <w:r>
        <w:t>ESTRUCTURA DEL INFORME Y</w:t>
      </w:r>
      <w:r>
        <w:rPr>
          <w:spacing w:val="-9"/>
        </w:rPr>
        <w:t xml:space="preserve"> </w:t>
      </w:r>
      <w:r>
        <w:t>METODOLOGIA</w:t>
      </w:r>
      <w:r>
        <w:rPr>
          <w:b w:val="0"/>
        </w:rPr>
        <w:t>.</w:t>
      </w:r>
    </w:p>
    <w:p w:rsidR="00D3757C" w:rsidRDefault="00D3757C" w:rsidP="00066B3C">
      <w:pPr>
        <w:pStyle w:val="Textoindependiente"/>
        <w:rPr>
          <w:sz w:val="28"/>
        </w:rPr>
      </w:pPr>
    </w:p>
    <w:p w:rsidR="00D3757C" w:rsidRDefault="00CB4616" w:rsidP="00066B3C">
      <w:pPr>
        <w:pStyle w:val="Textoindependiente"/>
        <w:ind w:left="302" w:right="97"/>
        <w:jc w:val="both"/>
      </w:pPr>
      <w:r>
        <w:t xml:space="preserve">El presente informe contiene datos consolidados de los trimestres </w:t>
      </w:r>
      <w:r w:rsidR="00DF7F46">
        <w:t>abril</w:t>
      </w:r>
      <w:r w:rsidR="005204AA">
        <w:t xml:space="preserve"> a </w:t>
      </w:r>
      <w:r w:rsidR="00DF7F46">
        <w:t>junio</w:t>
      </w:r>
      <w:r w:rsidR="008F0896">
        <w:t xml:space="preserve"> </w:t>
      </w:r>
      <w:r>
        <w:t>de las vigencias 201</w:t>
      </w:r>
      <w:r w:rsidR="00DF7F46">
        <w:t>7</w:t>
      </w:r>
      <w:r>
        <w:t>, 201</w:t>
      </w:r>
      <w:r w:rsidR="00DF7F46">
        <w:t>8</w:t>
      </w:r>
      <w:r>
        <w:t xml:space="preserve"> y 201</w:t>
      </w:r>
      <w:r w:rsidR="00DF7F46">
        <w:t>9</w:t>
      </w:r>
      <w:r>
        <w:t xml:space="preserve"> sobre cuatro aspectos puntuales:</w:t>
      </w:r>
    </w:p>
    <w:p w:rsidR="00D3757C" w:rsidRDefault="00CB4616" w:rsidP="00066B3C">
      <w:pPr>
        <w:pStyle w:val="Prrafodelista"/>
        <w:numPr>
          <w:ilvl w:val="0"/>
          <w:numId w:val="1"/>
        </w:numPr>
        <w:tabs>
          <w:tab w:val="left" w:pos="1009"/>
          <w:tab w:val="left" w:pos="1010"/>
        </w:tabs>
        <w:ind w:right="121" w:firstLine="0"/>
        <w:jc w:val="both"/>
      </w:pPr>
      <w:r>
        <w:t>Gastos de administración de personal de planta y contratación de servicios personales.</w:t>
      </w:r>
    </w:p>
    <w:p w:rsidR="00D3757C" w:rsidRDefault="00CB4616" w:rsidP="00066B3C">
      <w:pPr>
        <w:pStyle w:val="Prrafodelista"/>
        <w:numPr>
          <w:ilvl w:val="0"/>
          <w:numId w:val="1"/>
        </w:numPr>
        <w:tabs>
          <w:tab w:val="left" w:pos="1009"/>
          <w:tab w:val="left" w:pos="1010"/>
        </w:tabs>
        <w:ind w:firstLine="0"/>
        <w:jc w:val="both"/>
      </w:pPr>
      <w:r>
        <w:t>Gastos de impresos, publicidad y</w:t>
      </w:r>
      <w:r>
        <w:rPr>
          <w:spacing w:val="-4"/>
        </w:rPr>
        <w:t xml:space="preserve"> </w:t>
      </w:r>
      <w:r>
        <w:t>publicaciones.</w:t>
      </w:r>
    </w:p>
    <w:p w:rsidR="00D3757C" w:rsidRDefault="00CB4616" w:rsidP="00066B3C">
      <w:pPr>
        <w:pStyle w:val="Prrafodelista"/>
        <w:numPr>
          <w:ilvl w:val="0"/>
          <w:numId w:val="1"/>
        </w:numPr>
        <w:tabs>
          <w:tab w:val="left" w:pos="1021"/>
          <w:tab w:val="left" w:pos="1022"/>
        </w:tabs>
        <w:ind w:left="1022" w:hanging="720"/>
        <w:jc w:val="both"/>
      </w:pPr>
      <w:r>
        <w:t>Gastos de mantenimiento de bienes y servicio de vigilancia</w:t>
      </w:r>
      <w:r>
        <w:rPr>
          <w:spacing w:val="-4"/>
        </w:rPr>
        <w:t>.</w:t>
      </w:r>
    </w:p>
    <w:p w:rsidR="00D3757C" w:rsidRDefault="00CB4616" w:rsidP="00066B3C">
      <w:pPr>
        <w:pStyle w:val="Prrafodelista"/>
        <w:numPr>
          <w:ilvl w:val="0"/>
          <w:numId w:val="1"/>
        </w:numPr>
        <w:tabs>
          <w:tab w:val="left" w:pos="1009"/>
          <w:tab w:val="left" w:pos="1010"/>
        </w:tabs>
        <w:ind w:firstLine="0"/>
        <w:jc w:val="both"/>
      </w:pPr>
      <w:r>
        <w:t>Gastos de servicios públicos. (agua, energía eléctrica y telefonía fija y</w:t>
      </w:r>
      <w:r>
        <w:rPr>
          <w:spacing w:val="-12"/>
        </w:rPr>
        <w:t xml:space="preserve"> </w:t>
      </w:r>
      <w:r>
        <w:t>celular)</w:t>
      </w:r>
    </w:p>
    <w:p w:rsidR="00D3757C" w:rsidRDefault="00D3757C" w:rsidP="00066B3C">
      <w:pPr>
        <w:pStyle w:val="Textoindependiente"/>
        <w:jc w:val="both"/>
        <w:rPr>
          <w:sz w:val="28"/>
        </w:rPr>
      </w:pPr>
    </w:p>
    <w:p w:rsidR="00D3757C" w:rsidRDefault="00CB4616" w:rsidP="00066B3C">
      <w:pPr>
        <w:pStyle w:val="Textoindependiente"/>
        <w:ind w:left="302" w:right="113"/>
        <w:jc w:val="both"/>
      </w:pPr>
      <w:r>
        <w:t>Como metodología la oficina de control interno consolidó información de periodos similares de las vigencias 201</w:t>
      </w:r>
      <w:r w:rsidR="00DF7F46">
        <w:t>7</w:t>
      </w:r>
      <w:r>
        <w:t>, 201</w:t>
      </w:r>
      <w:r w:rsidR="00DF7F46">
        <w:t>8</w:t>
      </w:r>
      <w:r>
        <w:t xml:space="preserve"> y 201</w:t>
      </w:r>
      <w:r w:rsidR="00DF7F46">
        <w:t>9</w:t>
      </w:r>
      <w:r>
        <w:t xml:space="preserve"> para establecer las variaciones  porcentuales y determinar las posibles causas de esas variaciones. En algunos casos el análisis involucró la información de trimestres</w:t>
      </w:r>
      <w:r>
        <w:rPr>
          <w:spacing w:val="-1"/>
        </w:rPr>
        <w:t xml:space="preserve"> </w:t>
      </w:r>
      <w:r>
        <w:t>anteriores.</w:t>
      </w:r>
    </w:p>
    <w:p w:rsidR="00D3757C" w:rsidRDefault="00D3757C" w:rsidP="00066B3C">
      <w:pPr>
        <w:pStyle w:val="Textoindependiente"/>
        <w:jc w:val="both"/>
        <w:rPr>
          <w:sz w:val="25"/>
        </w:rPr>
      </w:pPr>
    </w:p>
    <w:p w:rsidR="00D3757C" w:rsidRDefault="00CB4616" w:rsidP="00066B3C">
      <w:pPr>
        <w:pStyle w:val="Textoindependiente"/>
        <w:ind w:left="302" w:right="115"/>
        <w:jc w:val="both"/>
      </w:pPr>
      <w:r>
        <w:t>Al final del informe la oficina de control interno formula algunas conclusiones y recomendaciones respetuosas para que sean tomadas en cuenta por parte de la  Gerencia General y la subgerencia administrativa de la</w:t>
      </w:r>
      <w:r>
        <w:rPr>
          <w:spacing w:val="-8"/>
        </w:rPr>
        <w:t xml:space="preserve"> </w:t>
      </w:r>
      <w:r>
        <w:t>entidad.</w:t>
      </w:r>
    </w:p>
    <w:p w:rsidR="00666E9B" w:rsidRDefault="00666E9B" w:rsidP="00066B3C">
      <w:pPr>
        <w:pStyle w:val="Textoindependiente"/>
        <w:ind w:left="302" w:right="115"/>
        <w:jc w:val="both"/>
      </w:pPr>
    </w:p>
    <w:p w:rsidR="00D3757C" w:rsidRDefault="00D3757C">
      <w:pPr>
        <w:spacing w:line="276" w:lineRule="auto"/>
        <w:jc w:val="both"/>
      </w:pPr>
    </w:p>
    <w:p w:rsidR="001A7988" w:rsidRDefault="001A7988">
      <w:pPr>
        <w:spacing w:line="276" w:lineRule="auto"/>
        <w:jc w:val="both"/>
      </w:pPr>
    </w:p>
    <w:p w:rsidR="001A7988" w:rsidRDefault="001A7988">
      <w:pPr>
        <w:spacing w:line="276" w:lineRule="auto"/>
        <w:jc w:val="both"/>
      </w:pPr>
    </w:p>
    <w:p w:rsidR="00591FE8" w:rsidRDefault="00CB4616" w:rsidP="00F20A2E">
      <w:pPr>
        <w:pStyle w:val="Ttulo1"/>
        <w:numPr>
          <w:ilvl w:val="0"/>
          <w:numId w:val="1"/>
        </w:numPr>
        <w:tabs>
          <w:tab w:val="left" w:pos="586"/>
        </w:tabs>
        <w:spacing w:line="276" w:lineRule="auto"/>
        <w:ind w:right="505" w:hanging="18"/>
      </w:pPr>
      <w:r>
        <w:t xml:space="preserve">GASTOS DE ADMINISTRACION DE PERSONAL DE PLANTA E INDIRECTOS A </w:t>
      </w:r>
      <w:r w:rsidR="005773B8">
        <w:t>JUNIO</w:t>
      </w:r>
      <w:r>
        <w:t xml:space="preserve"> DE 201</w:t>
      </w:r>
      <w:r w:rsidR="005773B8">
        <w:t>9</w:t>
      </w:r>
      <w:r w:rsidR="000A21E9">
        <w:t xml:space="preserve"> </w:t>
      </w:r>
    </w:p>
    <w:p w:rsidR="00010D3F" w:rsidRDefault="00010D3F" w:rsidP="00010D3F">
      <w:pPr>
        <w:pStyle w:val="Ttulo1"/>
        <w:tabs>
          <w:tab w:val="left" w:pos="586"/>
        </w:tabs>
        <w:spacing w:line="276" w:lineRule="auto"/>
        <w:ind w:right="505"/>
      </w:pPr>
    </w:p>
    <w:p w:rsidR="00010D3F" w:rsidRDefault="00010D3F" w:rsidP="00F20A2E">
      <w:pPr>
        <w:pStyle w:val="Ttulo1"/>
        <w:numPr>
          <w:ilvl w:val="1"/>
          <w:numId w:val="1"/>
        </w:numPr>
        <w:tabs>
          <w:tab w:val="left" w:pos="586"/>
        </w:tabs>
        <w:spacing w:line="276" w:lineRule="auto"/>
        <w:ind w:right="505"/>
        <w:jc w:val="both"/>
      </w:pPr>
      <w:r>
        <w:t>Planta de Personal</w:t>
      </w:r>
    </w:p>
    <w:p w:rsidR="00010D3F" w:rsidRDefault="00010D3F" w:rsidP="00010D3F">
      <w:pPr>
        <w:pStyle w:val="Ttulo1"/>
        <w:tabs>
          <w:tab w:val="left" w:pos="586"/>
        </w:tabs>
        <w:spacing w:line="276" w:lineRule="auto"/>
        <w:ind w:left="301" w:right="505"/>
        <w:jc w:val="both"/>
        <w:rPr>
          <w:rFonts w:eastAsia="Calibri"/>
          <w:b w:val="0"/>
        </w:rPr>
      </w:pPr>
      <w:r w:rsidRPr="00010D3F">
        <w:rPr>
          <w:rFonts w:eastAsia="Calibri"/>
          <w:b w:val="0"/>
        </w:rPr>
        <w:t>Se relaciona por tipo de vinculación, el número de servidores que a</w:t>
      </w:r>
      <w:r w:rsidR="0088728C">
        <w:rPr>
          <w:rFonts w:eastAsia="Calibri"/>
          <w:b w:val="0"/>
        </w:rPr>
        <w:t xml:space="preserve"> la </w:t>
      </w:r>
      <w:r w:rsidRPr="00010D3F">
        <w:rPr>
          <w:rFonts w:eastAsia="Calibri"/>
          <w:b w:val="0"/>
        </w:rPr>
        <w:t>fecha de corte del presente informe</w:t>
      </w:r>
      <w:r w:rsidR="0088728C">
        <w:rPr>
          <w:rFonts w:eastAsia="Calibri"/>
          <w:b w:val="0"/>
        </w:rPr>
        <w:t>, laboraban</w:t>
      </w:r>
      <w:r w:rsidRPr="00010D3F">
        <w:rPr>
          <w:rFonts w:eastAsia="Calibri"/>
          <w:b w:val="0"/>
        </w:rPr>
        <w:t xml:space="preserve"> en</w:t>
      </w:r>
      <w:r>
        <w:rPr>
          <w:rFonts w:eastAsia="Calibri"/>
          <w:b w:val="0"/>
        </w:rPr>
        <w:t xml:space="preserve"> </w:t>
      </w:r>
      <w:r w:rsidR="0088728C">
        <w:rPr>
          <w:rFonts w:eastAsia="Calibri"/>
          <w:b w:val="0"/>
        </w:rPr>
        <w:t xml:space="preserve">la </w:t>
      </w:r>
      <w:r>
        <w:rPr>
          <w:rFonts w:eastAsia="Calibri"/>
          <w:b w:val="0"/>
        </w:rPr>
        <w:t>Lotería Santander</w:t>
      </w:r>
      <w:r w:rsidR="00EA1723">
        <w:rPr>
          <w:rFonts w:eastAsia="Calibri"/>
          <w:b w:val="0"/>
        </w:rPr>
        <w:t>, para el periodo objeto del presente informe la planta se redujo en un (1) funcionario, debido a</w:t>
      </w:r>
      <w:r w:rsidR="005773B8">
        <w:rPr>
          <w:rFonts w:eastAsia="Calibri"/>
          <w:b w:val="0"/>
        </w:rPr>
        <w:t xml:space="preserve"> la separación del cargo de la Señora Leidy Yohana C</w:t>
      </w:r>
      <w:r w:rsidR="005773B8" w:rsidRPr="005773B8">
        <w:rPr>
          <w:rFonts w:eastAsia="Calibri"/>
          <w:b w:val="0"/>
        </w:rPr>
        <w:t>alvo</w:t>
      </w:r>
      <w:r w:rsidR="005773B8">
        <w:rPr>
          <w:rFonts w:eastAsia="Calibri"/>
          <w:b w:val="0"/>
        </w:rPr>
        <w:t xml:space="preserve"> Guerrero quien desempeñaba el cargo de almacenista d</w:t>
      </w:r>
      <w:r w:rsidR="00EA1723">
        <w:rPr>
          <w:rFonts w:eastAsia="Calibri"/>
          <w:b w:val="0"/>
        </w:rPr>
        <w:t>e la entidad</w:t>
      </w:r>
      <w:r w:rsidR="005773B8">
        <w:rPr>
          <w:rFonts w:eastAsia="Calibri"/>
          <w:b w:val="0"/>
        </w:rPr>
        <w:t xml:space="preserve">, oficializado mediante </w:t>
      </w:r>
      <w:r w:rsidR="00BE51DF" w:rsidRPr="00BE51DF">
        <w:rPr>
          <w:rFonts w:eastAsia="Calibri"/>
          <w:b w:val="0"/>
        </w:rPr>
        <w:t xml:space="preserve">resolución No. 218 del 17 de mayo de 2019, </w:t>
      </w:r>
      <w:r w:rsidR="00BE51DF">
        <w:rPr>
          <w:rFonts w:eastAsia="Calibri"/>
          <w:b w:val="0"/>
        </w:rPr>
        <w:t xml:space="preserve">en la cual se declaró su insubsistencia </w:t>
      </w:r>
      <w:r w:rsidR="00BE51DF" w:rsidRPr="00BE51DF">
        <w:rPr>
          <w:rFonts w:eastAsia="Calibri"/>
          <w:b w:val="0"/>
        </w:rPr>
        <w:t>a partir del 19 de junio del 2019</w:t>
      </w:r>
      <w:r w:rsidR="00EA1723">
        <w:rPr>
          <w:rFonts w:eastAsia="Calibri"/>
          <w:b w:val="0"/>
        </w:rPr>
        <w:t>.</w:t>
      </w:r>
    </w:p>
    <w:p w:rsidR="004B14CF" w:rsidRDefault="004B14CF" w:rsidP="00010D3F">
      <w:pPr>
        <w:pStyle w:val="Ttulo1"/>
        <w:tabs>
          <w:tab w:val="left" w:pos="586"/>
        </w:tabs>
        <w:spacing w:line="276" w:lineRule="auto"/>
        <w:ind w:left="301" w:right="505"/>
        <w:jc w:val="both"/>
        <w:rPr>
          <w:rFonts w:eastAsia="Calibri"/>
          <w:b w:val="0"/>
        </w:rPr>
      </w:pPr>
    </w:p>
    <w:p w:rsidR="004B14CF" w:rsidRDefault="004B14CF" w:rsidP="00010D3F">
      <w:pPr>
        <w:pStyle w:val="Ttulo1"/>
        <w:tabs>
          <w:tab w:val="left" w:pos="586"/>
        </w:tabs>
        <w:spacing w:line="276" w:lineRule="auto"/>
        <w:ind w:left="301" w:right="505"/>
        <w:jc w:val="both"/>
        <w:rPr>
          <w:rFonts w:eastAsia="Calibri"/>
          <w:b w:val="0"/>
        </w:rPr>
      </w:pPr>
      <w:r w:rsidRPr="00C2128B">
        <w:rPr>
          <w:noProof/>
          <w:lang w:bidi="ar-SA"/>
        </w:rPr>
        <mc:AlternateContent>
          <mc:Choice Requires="wps">
            <w:drawing>
              <wp:anchor distT="0" distB="0" distL="114300" distR="114300" simplePos="0" relativeHeight="251663360" behindDoc="0" locked="0" layoutInCell="1" allowOverlap="1" wp14:anchorId="7376F106" wp14:editId="350975A1">
                <wp:simplePos x="0" y="0"/>
                <wp:positionH relativeFrom="column">
                  <wp:posOffset>1470660</wp:posOffset>
                </wp:positionH>
                <wp:positionV relativeFrom="paragraph">
                  <wp:posOffset>58420</wp:posOffset>
                </wp:positionV>
                <wp:extent cx="2917825" cy="836295"/>
                <wp:effectExtent l="0" t="0" r="0" b="1905"/>
                <wp:wrapNone/>
                <wp:docPr id="5" name="Google Shape;216;p2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2917825" cy="836295"/>
                        </a:xfrm>
                        <a:prstGeom prst="rect">
                          <a:avLst/>
                        </a:prstGeom>
                        <a:solidFill>
                          <a:schemeClr val="accent6">
                            <a:lumMod val="75000"/>
                          </a:schemeClr>
                        </a:solidFill>
                        <a:ln>
                          <a:noFill/>
                        </a:ln>
                      </wps:spPr>
                      <wps:txbx>
                        <w:txbxContent>
                          <w:p w:rsidR="009D232A" w:rsidRPr="00764751" w:rsidRDefault="009D232A" w:rsidP="004B14CF">
                            <w:pPr>
                              <w:pStyle w:val="NormalWeb"/>
                              <w:spacing w:before="0" w:beforeAutospacing="0" w:after="0" w:afterAutospacing="0" w:line="216" w:lineRule="auto"/>
                              <w:jc w:val="center"/>
                              <w:rPr>
                                <w:rFonts w:asciiTheme="minorHAnsi" w:eastAsia="Work Sans Light" w:hAnsi="Calibri" w:cs="Work Sans Light"/>
                                <w:color w:val="FFFFFF" w:themeColor="background1"/>
                                <w:sz w:val="36"/>
                                <w:szCs w:val="36"/>
                              </w:rPr>
                            </w:pPr>
                            <w:r>
                              <w:rPr>
                                <w:rFonts w:asciiTheme="minorHAnsi" w:eastAsia="Work Sans Light" w:hAnsi="Calibri" w:cs="Work Sans Light"/>
                                <w:b/>
                                <w:bCs/>
                                <w:color w:val="FFFFFF" w:themeColor="background1"/>
                                <w:sz w:val="36"/>
                                <w:szCs w:val="36"/>
                              </w:rPr>
                              <w:t>27</w:t>
                            </w:r>
                            <w:r w:rsidRPr="00764751">
                              <w:rPr>
                                <w:rFonts w:asciiTheme="minorHAnsi" w:eastAsia="Work Sans Light" w:hAnsi="Calibri" w:cs="Work Sans Light"/>
                                <w:b/>
                                <w:bCs/>
                                <w:color w:val="FFFFFF" w:themeColor="background1"/>
                                <w:sz w:val="36"/>
                                <w:szCs w:val="36"/>
                              </w:rPr>
                              <w:t xml:space="preserve"> empleos</w:t>
                            </w:r>
                            <w:r w:rsidRPr="00764751">
                              <w:rPr>
                                <w:rFonts w:ascii="Work Sans Light" w:eastAsia="Work Sans Light" w:hAnsi="Work Sans Light" w:cs="Work Sans Light"/>
                                <w:b/>
                                <w:bCs/>
                                <w:color w:val="FFFFFF" w:themeColor="background1"/>
                                <w:sz w:val="36"/>
                                <w:szCs w:val="36"/>
                              </w:rPr>
                              <w:br/>
                            </w:r>
                            <w:r>
                              <w:rPr>
                                <w:rFonts w:asciiTheme="minorHAnsi" w:eastAsia="Work Sans Light" w:hAnsi="Calibri" w:cs="Work Sans Light"/>
                                <w:color w:val="FFFFFF" w:themeColor="background1"/>
                                <w:sz w:val="36"/>
                                <w:szCs w:val="36"/>
                              </w:rPr>
                              <w:t>(P</w:t>
                            </w:r>
                            <w:r w:rsidRPr="00764751">
                              <w:rPr>
                                <w:rFonts w:asciiTheme="minorHAnsi" w:eastAsia="Work Sans Light" w:hAnsi="Calibri" w:cs="Work Sans Light"/>
                                <w:color w:val="FFFFFF" w:themeColor="background1"/>
                                <w:sz w:val="36"/>
                                <w:szCs w:val="36"/>
                              </w:rPr>
                              <w:t xml:space="preserve">lanta </w:t>
                            </w:r>
                            <w:r>
                              <w:rPr>
                                <w:rFonts w:asciiTheme="minorHAnsi" w:eastAsia="Work Sans Light" w:hAnsi="Calibri" w:cs="Work Sans Light"/>
                                <w:color w:val="FFFFFF" w:themeColor="background1"/>
                                <w:sz w:val="36"/>
                                <w:szCs w:val="36"/>
                              </w:rPr>
                              <w:t>Total</w:t>
                            </w:r>
                            <w:r w:rsidRPr="00764751">
                              <w:rPr>
                                <w:rFonts w:asciiTheme="minorHAnsi" w:eastAsia="Work Sans Light" w:hAnsi="Calibri" w:cs="Work Sans Light"/>
                                <w:color w:val="FFFFFF" w:themeColor="background1"/>
                                <w:sz w:val="36"/>
                                <w:szCs w:val="36"/>
                              </w:rPr>
                              <w:t>)</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Google Shape;216;p28" o:spid="_x0000_s1026" type="#_x0000_t202" style="position:absolute;left:0;text-align:left;margin-left:115.8pt;margin-top:4.6pt;width:229.75pt;height:6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" fillcolor="#e36c0a [2409]" stroked="f">
                <v:path arrowok="t"/>
                <o:lock v:ext="edit" grouping="t"/>
                <v:textbox inset="1.90486mm,.95208mm,1.90486mm,.95208mm">
                  <w:txbxContent>
                    <w:p w:rsidR="009D232A" w:rsidRPr="00764751" w:rsidRDefault="009D232A" w:rsidP="004B14CF">
                      <w:pPr>
                        <w:pStyle w:val="NormalWeb"/>
                        <w:spacing w:before="0" w:beforeAutospacing="0" w:after="0" w:afterAutospacing="0" w:line="216" w:lineRule="auto"/>
                        <w:jc w:val="center"/>
                        <w:rPr>
                          <w:rFonts w:asciiTheme="minorHAnsi" w:eastAsia="Work Sans Light" w:hAnsi="Calibri" w:cs="Work Sans Light"/>
                          <w:color w:val="FFFFFF" w:themeColor="background1"/>
                          <w:sz w:val="36"/>
                          <w:szCs w:val="36"/>
                        </w:rPr>
                      </w:pPr>
                      <w:r>
                        <w:rPr>
                          <w:rFonts w:asciiTheme="minorHAnsi" w:eastAsia="Work Sans Light" w:hAnsi="Calibri" w:cs="Work Sans Light"/>
                          <w:b/>
                          <w:bCs/>
                          <w:color w:val="FFFFFF" w:themeColor="background1"/>
                          <w:sz w:val="36"/>
                          <w:szCs w:val="36"/>
                        </w:rPr>
                        <w:t>27</w:t>
                      </w:r>
                      <w:r w:rsidRPr="00764751">
                        <w:rPr>
                          <w:rFonts w:asciiTheme="minorHAnsi" w:eastAsia="Work Sans Light" w:hAnsi="Calibri" w:cs="Work Sans Light"/>
                          <w:b/>
                          <w:bCs/>
                          <w:color w:val="FFFFFF" w:themeColor="background1"/>
                          <w:sz w:val="36"/>
                          <w:szCs w:val="36"/>
                        </w:rPr>
                        <w:t xml:space="preserve"> empleos</w:t>
                      </w:r>
                      <w:r w:rsidRPr="00764751">
                        <w:rPr>
                          <w:rFonts w:ascii="Work Sans Light" w:eastAsia="Work Sans Light" w:hAnsi="Work Sans Light" w:cs="Work Sans Light"/>
                          <w:b/>
                          <w:bCs/>
                          <w:color w:val="FFFFFF" w:themeColor="background1"/>
                          <w:sz w:val="36"/>
                          <w:szCs w:val="36"/>
                        </w:rPr>
                        <w:br/>
                      </w:r>
                      <w:r>
                        <w:rPr>
                          <w:rFonts w:asciiTheme="minorHAnsi" w:eastAsia="Work Sans Light" w:hAnsi="Calibri" w:cs="Work Sans Light"/>
                          <w:color w:val="FFFFFF" w:themeColor="background1"/>
                          <w:sz w:val="36"/>
                          <w:szCs w:val="36"/>
                        </w:rPr>
                        <w:t>(P</w:t>
                      </w:r>
                      <w:r w:rsidRPr="00764751">
                        <w:rPr>
                          <w:rFonts w:asciiTheme="minorHAnsi" w:eastAsia="Work Sans Light" w:hAnsi="Calibri" w:cs="Work Sans Light"/>
                          <w:color w:val="FFFFFF" w:themeColor="background1"/>
                          <w:sz w:val="36"/>
                          <w:szCs w:val="36"/>
                        </w:rPr>
                        <w:t xml:space="preserve">lanta </w:t>
                      </w:r>
                      <w:r>
                        <w:rPr>
                          <w:rFonts w:asciiTheme="minorHAnsi" w:eastAsia="Work Sans Light" w:hAnsi="Calibri" w:cs="Work Sans Light"/>
                          <w:color w:val="FFFFFF" w:themeColor="background1"/>
                          <w:sz w:val="36"/>
                          <w:szCs w:val="36"/>
                        </w:rPr>
                        <w:t>Total</w:t>
                      </w:r>
                      <w:r w:rsidRPr="00764751">
                        <w:rPr>
                          <w:rFonts w:asciiTheme="minorHAnsi" w:eastAsia="Work Sans Light" w:hAnsi="Calibri" w:cs="Work Sans Light"/>
                          <w:color w:val="FFFFFF" w:themeColor="background1"/>
                          <w:sz w:val="36"/>
                          <w:szCs w:val="36"/>
                        </w:rPr>
                        <w:t>)</w:t>
                      </w:r>
                    </w:p>
                  </w:txbxContent>
                </v:textbox>
              </v:shape>
            </w:pict>
          </mc:Fallback>
        </mc:AlternateContent>
      </w:r>
    </w:p>
    <w:p w:rsidR="004B14CF" w:rsidRDefault="004B14CF" w:rsidP="00010D3F">
      <w:pPr>
        <w:pStyle w:val="Ttulo1"/>
        <w:tabs>
          <w:tab w:val="left" w:pos="586"/>
        </w:tabs>
        <w:spacing w:line="276" w:lineRule="auto"/>
        <w:ind w:left="301" w:right="505"/>
        <w:jc w:val="both"/>
        <w:rPr>
          <w:rFonts w:eastAsia="Calibri"/>
          <w:b w:val="0"/>
        </w:rPr>
      </w:pPr>
    </w:p>
    <w:p w:rsidR="004B14CF" w:rsidRDefault="004B14CF" w:rsidP="00010D3F">
      <w:pPr>
        <w:pStyle w:val="Ttulo1"/>
        <w:tabs>
          <w:tab w:val="left" w:pos="586"/>
        </w:tabs>
        <w:spacing w:line="276" w:lineRule="auto"/>
        <w:ind w:left="301" w:right="505"/>
        <w:jc w:val="both"/>
        <w:rPr>
          <w:rFonts w:eastAsia="Calibri"/>
          <w:b w:val="0"/>
        </w:rPr>
      </w:pPr>
    </w:p>
    <w:p w:rsidR="004B14CF" w:rsidRDefault="004B14CF" w:rsidP="00010D3F">
      <w:pPr>
        <w:pStyle w:val="Ttulo1"/>
        <w:tabs>
          <w:tab w:val="left" w:pos="586"/>
        </w:tabs>
        <w:spacing w:line="276" w:lineRule="auto"/>
        <w:ind w:left="301" w:right="505"/>
        <w:jc w:val="both"/>
        <w:rPr>
          <w:rFonts w:eastAsia="Calibri"/>
          <w:b w:val="0"/>
        </w:rPr>
      </w:pPr>
    </w:p>
    <w:p w:rsidR="004B14CF" w:rsidRDefault="004B14CF" w:rsidP="00010D3F">
      <w:pPr>
        <w:pStyle w:val="Ttulo1"/>
        <w:tabs>
          <w:tab w:val="left" w:pos="586"/>
        </w:tabs>
        <w:spacing w:line="276" w:lineRule="auto"/>
        <w:ind w:left="301" w:right="505"/>
        <w:jc w:val="both"/>
        <w:rPr>
          <w:rFonts w:eastAsia="Calibri"/>
          <w:b w:val="0"/>
        </w:rPr>
      </w:pPr>
    </w:p>
    <w:p w:rsidR="004B14CF" w:rsidRDefault="004B14CF" w:rsidP="00010D3F">
      <w:pPr>
        <w:pStyle w:val="Ttulo1"/>
        <w:tabs>
          <w:tab w:val="left" w:pos="586"/>
        </w:tabs>
        <w:spacing w:line="276" w:lineRule="auto"/>
        <w:ind w:left="301" w:right="505"/>
        <w:jc w:val="both"/>
        <w:rPr>
          <w:rFonts w:eastAsia="Calibri"/>
          <w:b w:val="0"/>
        </w:rPr>
      </w:pPr>
      <w:r w:rsidRPr="00C2128B">
        <w:rPr>
          <w:noProof/>
          <w:lang w:bidi="ar-SA"/>
        </w:rPr>
        <mc:AlternateContent>
          <mc:Choice Requires="wps">
            <w:drawing>
              <wp:anchor distT="0" distB="0" distL="114300" distR="114300" simplePos="0" relativeHeight="251665408" behindDoc="0" locked="0" layoutInCell="1" allowOverlap="1" wp14:anchorId="6F87B5BF" wp14:editId="44545BA5">
                <wp:simplePos x="0" y="0"/>
                <wp:positionH relativeFrom="column">
                  <wp:posOffset>1474470</wp:posOffset>
                </wp:positionH>
                <wp:positionV relativeFrom="paragraph">
                  <wp:posOffset>19050</wp:posOffset>
                </wp:positionV>
                <wp:extent cx="1457325" cy="647700"/>
                <wp:effectExtent l="0" t="0" r="9525" b="0"/>
                <wp:wrapNone/>
                <wp:docPr id="17"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647700"/>
                        </a:xfrm>
                        <a:prstGeom prst="rect">
                          <a:avLst/>
                        </a:prstGeom>
                        <a:solidFill>
                          <a:schemeClr val="accent6">
                            <a:lumMod val="60000"/>
                            <a:lumOff val="40000"/>
                          </a:schemeClr>
                        </a:solidFill>
                        <a:ln>
                          <a:noFill/>
                        </a:ln>
                      </wps:spPr>
                      <wps:txbx>
                        <w:txbxContent>
                          <w:p w:rsidR="009D232A" w:rsidRPr="002E2F6A" w:rsidRDefault="009D232A" w:rsidP="00B33038">
                            <w:pPr>
                              <w:pStyle w:val="NormalWeb"/>
                              <w:spacing w:before="0" w:beforeAutospacing="0" w:after="0" w:afterAutospacing="0"/>
                              <w:jc w:val="center"/>
                              <w:rPr>
                                <w:rFonts w:ascii="Arial" w:eastAsia="Arial" w:hAnsi="Arial" w:cs="Arial"/>
                                <w:b/>
                                <w:bCs/>
                                <w:color w:val="FFFFFF"/>
                              </w:rPr>
                            </w:pPr>
                            <w:r>
                              <w:rPr>
                                <w:rFonts w:ascii="Arial" w:eastAsia="Arial" w:hAnsi="Arial" w:cs="Arial"/>
                                <w:b/>
                                <w:bCs/>
                                <w:color w:val="FFFFFF"/>
                              </w:rPr>
                              <w:t>10</w:t>
                            </w:r>
                          </w:p>
                          <w:p w:rsidR="009D232A" w:rsidRPr="00B33038" w:rsidRDefault="009D232A" w:rsidP="00B33038">
                            <w:pPr>
                              <w:pStyle w:val="NormalWeb"/>
                              <w:spacing w:before="0" w:beforeAutospacing="0" w:after="0" w:afterAutospacing="0"/>
                              <w:jc w:val="center"/>
                              <w:rPr>
                                <w:rFonts w:ascii="Arial" w:hAnsi="Arial" w:cs="Arial"/>
                                <w:b/>
                                <w:bCs/>
                                <w:color w:val="FFFFFF"/>
                                <w:sz w:val="18"/>
                                <w:szCs w:val="18"/>
                              </w:rPr>
                            </w:pPr>
                            <w:r w:rsidRPr="00B33038">
                              <w:rPr>
                                <w:rFonts w:ascii="Arial" w:hAnsi="Arial" w:cs="Arial"/>
                                <w:b/>
                                <w:bCs/>
                                <w:color w:val="FFFFFF"/>
                                <w:sz w:val="18"/>
                                <w:szCs w:val="18"/>
                                <w:lang w:val="en-US"/>
                              </w:rPr>
                              <w:t>FUNCIONARIOS PUBLICOS</w:t>
                            </w:r>
                          </w:p>
                          <w:p w:rsidR="009D232A" w:rsidRPr="00C2128B" w:rsidRDefault="009D232A" w:rsidP="00B33038">
                            <w:pPr>
                              <w:pStyle w:val="NormalWeb"/>
                              <w:spacing w:before="0" w:beforeAutospacing="0" w:after="0" w:afterAutospacing="0" w:line="216" w:lineRule="auto"/>
                              <w:jc w:val="center"/>
                              <w:rPr>
                                <w:sz w:val="18"/>
                                <w:szCs w:val="18"/>
                              </w:rPr>
                            </w:pP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6.1pt;margin-top:1.5pt;width:114.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" fillcolor="#fabf8f [1945]" stroked="f">
                <v:path arrowok="t"/>
                <v:textbox inset="1.90486mm,.95208mm,1.90486mm,.95208mm">
                  <w:txbxContent>
                    <w:p w:rsidR="009D232A" w:rsidRPr="002E2F6A" w:rsidRDefault="009D232A" w:rsidP="00B33038">
                      <w:pPr>
                        <w:pStyle w:val="NormalWeb"/>
                        <w:spacing w:before="0" w:beforeAutospacing="0" w:after="0" w:afterAutospacing="0"/>
                        <w:jc w:val="center"/>
                        <w:rPr>
                          <w:rFonts w:ascii="Arial" w:eastAsia="Arial" w:hAnsi="Arial" w:cs="Arial"/>
                          <w:b/>
                          <w:bCs/>
                          <w:color w:val="FFFFFF"/>
                        </w:rPr>
                      </w:pPr>
                      <w:r>
                        <w:rPr>
                          <w:rFonts w:ascii="Arial" w:eastAsia="Arial" w:hAnsi="Arial" w:cs="Arial"/>
                          <w:b/>
                          <w:bCs/>
                          <w:color w:val="FFFFFF"/>
                        </w:rPr>
                        <w:t>10</w:t>
                      </w:r>
                    </w:p>
                    <w:p w:rsidR="009D232A" w:rsidRPr="00B33038" w:rsidRDefault="009D232A" w:rsidP="00B33038">
                      <w:pPr>
                        <w:pStyle w:val="NormalWeb"/>
                        <w:spacing w:before="0" w:beforeAutospacing="0" w:after="0" w:afterAutospacing="0"/>
                        <w:jc w:val="center"/>
                        <w:rPr>
                          <w:rFonts w:ascii="Arial" w:hAnsi="Arial" w:cs="Arial"/>
                          <w:b/>
                          <w:bCs/>
                          <w:color w:val="FFFFFF"/>
                          <w:sz w:val="18"/>
                          <w:szCs w:val="18"/>
                        </w:rPr>
                      </w:pPr>
                      <w:r w:rsidRPr="00B33038">
                        <w:rPr>
                          <w:rFonts w:ascii="Arial" w:hAnsi="Arial" w:cs="Arial"/>
                          <w:b/>
                          <w:bCs/>
                          <w:color w:val="FFFFFF"/>
                          <w:sz w:val="18"/>
                          <w:szCs w:val="18"/>
                          <w:lang w:val="en-US"/>
                        </w:rPr>
                        <w:t>FUNCIONARIOS PUBLICOS</w:t>
                      </w:r>
                    </w:p>
                    <w:p w:rsidR="009D232A" w:rsidRPr="00C2128B" w:rsidRDefault="009D232A" w:rsidP="00B33038">
                      <w:pPr>
                        <w:pStyle w:val="NormalWeb"/>
                        <w:spacing w:before="0" w:beforeAutospacing="0" w:after="0" w:afterAutospacing="0" w:line="216" w:lineRule="auto"/>
                        <w:jc w:val="center"/>
                        <w:rPr>
                          <w:sz w:val="18"/>
                          <w:szCs w:val="18"/>
                        </w:rPr>
                      </w:pPr>
                    </w:p>
                  </w:txbxContent>
                </v:textbox>
              </v:shape>
            </w:pict>
          </mc:Fallback>
        </mc:AlternateContent>
      </w:r>
      <w:r w:rsidRPr="00C2128B">
        <w:rPr>
          <w:noProof/>
          <w:lang w:bidi="ar-SA"/>
        </w:rPr>
        <mc:AlternateContent>
          <mc:Choice Requires="wps">
            <w:drawing>
              <wp:anchor distT="0" distB="0" distL="114300" distR="114300" simplePos="0" relativeHeight="251667456" behindDoc="0" locked="0" layoutInCell="1" allowOverlap="1" wp14:anchorId="656D1164" wp14:editId="24411322">
                <wp:simplePos x="0" y="0"/>
                <wp:positionH relativeFrom="column">
                  <wp:posOffset>2992755</wp:posOffset>
                </wp:positionH>
                <wp:positionV relativeFrom="paragraph">
                  <wp:posOffset>27940</wp:posOffset>
                </wp:positionV>
                <wp:extent cx="1397000" cy="647700"/>
                <wp:effectExtent l="0" t="0" r="0" b="0"/>
                <wp:wrapNone/>
                <wp:docPr id="10" name="Google Shape;216;p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0" cy="647700"/>
                        </a:xfrm>
                        <a:prstGeom prst="rect">
                          <a:avLst/>
                        </a:prstGeom>
                        <a:solidFill>
                          <a:schemeClr val="accent6">
                            <a:lumMod val="60000"/>
                            <a:lumOff val="40000"/>
                          </a:schemeClr>
                        </a:solidFill>
                        <a:ln>
                          <a:noFill/>
                        </a:ln>
                      </wps:spPr>
                      <wps:txbx>
                        <w:txbxContent>
                          <w:p w:rsidR="009D232A" w:rsidRPr="002E2F6A" w:rsidRDefault="009D232A" w:rsidP="004B14CF">
                            <w:pPr>
                              <w:pStyle w:val="NormalWeb"/>
                              <w:spacing w:before="0" w:beforeAutospacing="0" w:after="0" w:afterAutospacing="0" w:line="216" w:lineRule="auto"/>
                              <w:jc w:val="center"/>
                              <w:rPr>
                                <w:rFonts w:ascii="Arial" w:eastAsia="Arial" w:hAnsi="Arial" w:cs="Arial"/>
                                <w:b/>
                                <w:bCs/>
                                <w:color w:val="FFFFFF"/>
                              </w:rPr>
                            </w:pPr>
                            <w:r>
                              <w:rPr>
                                <w:rFonts w:ascii="Arial" w:eastAsia="Arial" w:hAnsi="Arial" w:cs="Arial"/>
                                <w:b/>
                                <w:bCs/>
                                <w:color w:val="FFFFFF"/>
                              </w:rPr>
                              <w:t>17</w:t>
                            </w:r>
                          </w:p>
                          <w:p w:rsidR="009D232A" w:rsidRPr="00C2128B" w:rsidRDefault="009D232A" w:rsidP="004B14CF">
                            <w:pPr>
                              <w:pStyle w:val="NormalWeb"/>
                              <w:spacing w:before="0" w:beforeAutospacing="0" w:after="0" w:afterAutospacing="0" w:line="216" w:lineRule="auto"/>
                              <w:jc w:val="center"/>
                              <w:rPr>
                                <w:sz w:val="18"/>
                                <w:szCs w:val="18"/>
                              </w:rPr>
                            </w:pPr>
                            <w:r>
                              <w:rPr>
                                <w:rFonts w:ascii="Arial" w:eastAsia="Arial" w:hAnsi="Arial" w:cs="Arial"/>
                                <w:b/>
                                <w:bCs/>
                                <w:color w:val="FFFFFF"/>
                                <w:sz w:val="18"/>
                                <w:szCs w:val="18"/>
                              </w:rPr>
                              <w:t>FUNCIONARIOS OFICIALES</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65pt;margin-top:2.2pt;width:110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" fillcolor="#fabf8f [1945]" stroked="f">
                <v:path arrowok="t"/>
                <v:textbox inset="1.90486mm,.95208mm,1.90486mm,.95208mm">
                  <w:txbxContent>
                    <w:p w:rsidR="009D232A" w:rsidRPr="002E2F6A" w:rsidRDefault="009D232A" w:rsidP="004B14CF">
                      <w:pPr>
                        <w:pStyle w:val="NormalWeb"/>
                        <w:spacing w:before="0" w:beforeAutospacing="0" w:after="0" w:afterAutospacing="0" w:line="216" w:lineRule="auto"/>
                        <w:jc w:val="center"/>
                        <w:rPr>
                          <w:rFonts w:ascii="Arial" w:eastAsia="Arial" w:hAnsi="Arial" w:cs="Arial"/>
                          <w:b/>
                          <w:bCs/>
                          <w:color w:val="FFFFFF"/>
                        </w:rPr>
                      </w:pPr>
                      <w:r>
                        <w:rPr>
                          <w:rFonts w:ascii="Arial" w:eastAsia="Arial" w:hAnsi="Arial" w:cs="Arial"/>
                          <w:b/>
                          <w:bCs/>
                          <w:color w:val="FFFFFF"/>
                        </w:rPr>
                        <w:t>17</w:t>
                      </w:r>
                    </w:p>
                    <w:p w:rsidR="009D232A" w:rsidRPr="00C2128B" w:rsidRDefault="009D232A" w:rsidP="004B14CF">
                      <w:pPr>
                        <w:pStyle w:val="NormalWeb"/>
                        <w:spacing w:before="0" w:beforeAutospacing="0" w:after="0" w:afterAutospacing="0" w:line="216" w:lineRule="auto"/>
                        <w:jc w:val="center"/>
                        <w:rPr>
                          <w:sz w:val="18"/>
                          <w:szCs w:val="18"/>
                        </w:rPr>
                      </w:pPr>
                      <w:r>
                        <w:rPr>
                          <w:rFonts w:ascii="Arial" w:eastAsia="Arial" w:hAnsi="Arial" w:cs="Arial"/>
                          <w:b/>
                          <w:bCs/>
                          <w:color w:val="FFFFFF"/>
                          <w:sz w:val="18"/>
                          <w:szCs w:val="18"/>
                        </w:rPr>
                        <w:t>FUNCIONARIOS OFICIALES</w:t>
                      </w:r>
                    </w:p>
                  </w:txbxContent>
                </v:textbox>
              </v:shape>
            </w:pict>
          </mc:Fallback>
        </mc:AlternateContent>
      </w:r>
    </w:p>
    <w:p w:rsidR="004B14CF" w:rsidRDefault="004B14CF" w:rsidP="00010D3F">
      <w:pPr>
        <w:pStyle w:val="Ttulo1"/>
        <w:tabs>
          <w:tab w:val="left" w:pos="586"/>
        </w:tabs>
        <w:spacing w:line="276" w:lineRule="auto"/>
        <w:ind w:left="301" w:right="505"/>
        <w:jc w:val="both"/>
        <w:rPr>
          <w:rFonts w:eastAsia="Calibri"/>
          <w:b w:val="0"/>
        </w:rPr>
      </w:pPr>
    </w:p>
    <w:p w:rsidR="004B14CF" w:rsidRDefault="004B14CF" w:rsidP="00010D3F">
      <w:pPr>
        <w:pStyle w:val="Ttulo1"/>
        <w:tabs>
          <w:tab w:val="left" w:pos="586"/>
        </w:tabs>
        <w:spacing w:line="276" w:lineRule="auto"/>
        <w:ind w:left="301" w:right="505"/>
        <w:jc w:val="both"/>
        <w:rPr>
          <w:rFonts w:eastAsia="Calibri"/>
          <w:b w:val="0"/>
        </w:rPr>
      </w:pPr>
    </w:p>
    <w:p w:rsidR="004B14CF" w:rsidRDefault="004B14CF" w:rsidP="004B14CF">
      <w:pPr>
        <w:pStyle w:val="Ttulo1"/>
        <w:tabs>
          <w:tab w:val="left" w:pos="586"/>
        </w:tabs>
        <w:spacing w:line="276" w:lineRule="auto"/>
        <w:ind w:left="301" w:right="505"/>
        <w:jc w:val="center"/>
        <w:rPr>
          <w:rFonts w:eastAsia="Calibri"/>
          <w:b w:val="0"/>
        </w:rPr>
      </w:pPr>
    </w:p>
    <w:p w:rsidR="004B14CF" w:rsidRDefault="004B14CF" w:rsidP="004B14CF">
      <w:pPr>
        <w:pStyle w:val="Ttulo1"/>
        <w:tabs>
          <w:tab w:val="left" w:pos="586"/>
        </w:tabs>
        <w:spacing w:line="276" w:lineRule="auto"/>
        <w:ind w:left="301" w:right="505"/>
        <w:jc w:val="center"/>
        <w:rPr>
          <w:rFonts w:eastAsia="Calibri"/>
          <w:b w:val="0"/>
        </w:rPr>
      </w:pPr>
    </w:p>
    <w:p w:rsidR="00591FE8" w:rsidRDefault="00900930" w:rsidP="001C6360">
      <w:pPr>
        <w:pStyle w:val="Ttulo1"/>
        <w:numPr>
          <w:ilvl w:val="1"/>
          <w:numId w:val="1"/>
        </w:numPr>
        <w:tabs>
          <w:tab w:val="left" w:pos="586"/>
        </w:tabs>
        <w:spacing w:line="276" w:lineRule="auto"/>
        <w:ind w:right="505"/>
        <w:jc w:val="both"/>
      </w:pPr>
      <w:r>
        <w:t>SUELDOS</w:t>
      </w:r>
    </w:p>
    <w:p w:rsidR="001C6360" w:rsidRDefault="001C6360" w:rsidP="001C6360">
      <w:pPr>
        <w:pStyle w:val="Ttulo1"/>
        <w:tabs>
          <w:tab w:val="left" w:pos="586"/>
        </w:tabs>
        <w:spacing w:line="276" w:lineRule="auto"/>
        <w:ind w:left="1038" w:right="505"/>
        <w:jc w:val="both"/>
      </w:pPr>
    </w:p>
    <w:tbl>
      <w:tblPr>
        <w:tblW w:w="8931" w:type="dxa"/>
        <w:tblInd w:w="404" w:type="dxa"/>
        <w:tblCellMar>
          <w:left w:w="70" w:type="dxa"/>
          <w:right w:w="70" w:type="dxa"/>
        </w:tblCellMar>
        <w:tblLook w:val="04A0" w:firstRow="1" w:lastRow="0" w:firstColumn="1" w:lastColumn="0" w:noHBand="0" w:noVBand="1"/>
      </w:tblPr>
      <w:tblGrid>
        <w:gridCol w:w="1311"/>
        <w:gridCol w:w="1255"/>
        <w:gridCol w:w="1255"/>
        <w:gridCol w:w="1255"/>
        <w:gridCol w:w="1255"/>
        <w:gridCol w:w="1300"/>
        <w:gridCol w:w="1300"/>
      </w:tblGrid>
      <w:tr w:rsidR="00900930" w:rsidRPr="001C77C8" w:rsidTr="003776F3">
        <w:trPr>
          <w:trHeight w:val="300"/>
        </w:trPr>
        <w:tc>
          <w:tcPr>
            <w:tcW w:w="1311" w:type="dxa"/>
            <w:vMerge w:val="restart"/>
            <w:tcBorders>
              <w:top w:val="nil"/>
              <w:right w:val="single" w:sz="4" w:space="0" w:color="auto"/>
            </w:tcBorders>
            <w:shd w:val="clear" w:color="auto" w:fill="auto"/>
            <w:noWrap/>
            <w:vAlign w:val="bottom"/>
            <w:hideMark/>
          </w:tcPr>
          <w:p w:rsidR="00900930" w:rsidRPr="001C77C8" w:rsidRDefault="00900930" w:rsidP="00632028">
            <w:pPr>
              <w:widowControl/>
              <w:autoSpaceDE/>
              <w:autoSpaceDN/>
              <w:jc w:val="right"/>
              <w:rPr>
                <w:rFonts w:eastAsia="Times New Roman"/>
                <w:color w:val="000000"/>
                <w:sz w:val="18"/>
                <w:szCs w:val="18"/>
                <w:lang w:bidi="ar-SA"/>
              </w:rPr>
            </w:pPr>
            <w:r w:rsidRPr="001C77C8">
              <w:rPr>
                <w:rFonts w:eastAsia="Times New Roman"/>
                <w:color w:val="000000"/>
                <w:sz w:val="18"/>
                <w:szCs w:val="18"/>
                <w:lang w:bidi="ar-SA"/>
              </w:rPr>
              <w:t> </w:t>
            </w:r>
          </w:p>
        </w:tc>
        <w:tc>
          <w:tcPr>
            <w:tcW w:w="2510" w:type="dxa"/>
            <w:gridSpan w:val="2"/>
            <w:tcBorders>
              <w:top w:val="single" w:sz="4" w:space="0" w:color="auto"/>
              <w:left w:val="nil"/>
              <w:bottom w:val="single" w:sz="4" w:space="0" w:color="auto"/>
              <w:right w:val="single" w:sz="4" w:space="0" w:color="auto"/>
            </w:tcBorders>
            <w:shd w:val="clear" w:color="000000" w:fill="B8CCE4"/>
            <w:noWrap/>
            <w:vAlign w:val="center"/>
            <w:hideMark/>
          </w:tcPr>
          <w:p w:rsidR="00900930" w:rsidRPr="001C77C8" w:rsidRDefault="00D309FE" w:rsidP="00527AA9">
            <w:pPr>
              <w:widowControl/>
              <w:autoSpaceDE/>
              <w:autoSpaceDN/>
              <w:jc w:val="center"/>
              <w:rPr>
                <w:rFonts w:eastAsia="Times New Roman"/>
                <w:b/>
                <w:bCs/>
                <w:color w:val="000000"/>
                <w:sz w:val="18"/>
                <w:szCs w:val="18"/>
                <w:lang w:bidi="ar-SA"/>
              </w:rPr>
            </w:pPr>
            <w:r>
              <w:rPr>
                <w:rFonts w:eastAsia="Times New Roman"/>
                <w:b/>
                <w:bCs/>
                <w:color w:val="000000"/>
                <w:sz w:val="18"/>
                <w:szCs w:val="18"/>
                <w:lang w:bidi="ar-SA"/>
              </w:rPr>
              <w:t>2017</w:t>
            </w:r>
          </w:p>
        </w:tc>
        <w:tc>
          <w:tcPr>
            <w:tcW w:w="2510" w:type="dxa"/>
            <w:gridSpan w:val="2"/>
            <w:tcBorders>
              <w:top w:val="single" w:sz="4" w:space="0" w:color="auto"/>
              <w:left w:val="nil"/>
              <w:bottom w:val="single" w:sz="4" w:space="0" w:color="auto"/>
              <w:right w:val="single" w:sz="4" w:space="0" w:color="auto"/>
            </w:tcBorders>
            <w:shd w:val="clear" w:color="000000" w:fill="B8CCE4"/>
            <w:noWrap/>
            <w:vAlign w:val="center"/>
            <w:hideMark/>
          </w:tcPr>
          <w:p w:rsidR="00900930" w:rsidRPr="001C77C8" w:rsidRDefault="00900930" w:rsidP="001C77C8">
            <w:pPr>
              <w:widowControl/>
              <w:autoSpaceDE/>
              <w:autoSpaceDN/>
              <w:jc w:val="center"/>
              <w:rPr>
                <w:rFonts w:eastAsia="Times New Roman"/>
                <w:b/>
                <w:bCs/>
                <w:color w:val="000000"/>
                <w:sz w:val="18"/>
                <w:szCs w:val="18"/>
                <w:lang w:bidi="ar-SA"/>
              </w:rPr>
            </w:pPr>
            <w:r w:rsidRPr="001C77C8">
              <w:rPr>
                <w:rFonts w:eastAsia="Times New Roman"/>
                <w:b/>
                <w:bCs/>
                <w:color w:val="000000"/>
                <w:sz w:val="18"/>
                <w:szCs w:val="18"/>
                <w:lang w:bidi="ar-SA"/>
              </w:rPr>
              <w:t>201</w:t>
            </w:r>
            <w:r w:rsidR="00D309FE">
              <w:rPr>
                <w:rFonts w:eastAsia="Times New Roman"/>
                <w:b/>
                <w:bCs/>
                <w:color w:val="000000"/>
                <w:sz w:val="18"/>
                <w:szCs w:val="18"/>
                <w:lang w:bidi="ar-SA"/>
              </w:rPr>
              <w:t>8</w:t>
            </w:r>
          </w:p>
        </w:tc>
        <w:tc>
          <w:tcPr>
            <w:tcW w:w="2600" w:type="dxa"/>
            <w:gridSpan w:val="2"/>
            <w:tcBorders>
              <w:top w:val="single" w:sz="4" w:space="0" w:color="auto"/>
              <w:left w:val="nil"/>
              <w:bottom w:val="single" w:sz="4" w:space="0" w:color="auto"/>
              <w:right w:val="single" w:sz="4" w:space="0" w:color="auto"/>
            </w:tcBorders>
            <w:shd w:val="clear" w:color="000000" w:fill="B8CCE4"/>
            <w:noWrap/>
            <w:vAlign w:val="center"/>
            <w:hideMark/>
          </w:tcPr>
          <w:p w:rsidR="00900930" w:rsidRPr="001C77C8" w:rsidRDefault="00D309FE" w:rsidP="001C77C8">
            <w:pPr>
              <w:widowControl/>
              <w:autoSpaceDE/>
              <w:autoSpaceDN/>
              <w:jc w:val="center"/>
              <w:rPr>
                <w:rFonts w:eastAsia="Times New Roman"/>
                <w:b/>
                <w:bCs/>
                <w:color w:val="000000"/>
                <w:sz w:val="18"/>
                <w:szCs w:val="18"/>
                <w:lang w:bidi="ar-SA"/>
              </w:rPr>
            </w:pPr>
            <w:r>
              <w:rPr>
                <w:rFonts w:eastAsia="Times New Roman"/>
                <w:b/>
                <w:bCs/>
                <w:color w:val="000000"/>
                <w:sz w:val="18"/>
                <w:szCs w:val="18"/>
                <w:lang w:bidi="ar-SA"/>
              </w:rPr>
              <w:t>2019</w:t>
            </w:r>
          </w:p>
        </w:tc>
      </w:tr>
      <w:tr w:rsidR="00900930" w:rsidRPr="001C77C8" w:rsidTr="003776F3">
        <w:trPr>
          <w:trHeight w:val="300"/>
        </w:trPr>
        <w:tc>
          <w:tcPr>
            <w:tcW w:w="1311" w:type="dxa"/>
            <w:vMerge/>
            <w:tcBorders>
              <w:bottom w:val="single" w:sz="4" w:space="0" w:color="auto"/>
              <w:right w:val="single" w:sz="4" w:space="0" w:color="auto"/>
            </w:tcBorders>
            <w:shd w:val="clear" w:color="auto" w:fill="FFFFFF" w:themeFill="background1"/>
            <w:noWrap/>
            <w:vAlign w:val="bottom"/>
            <w:hideMark/>
          </w:tcPr>
          <w:p w:rsidR="00900930" w:rsidRPr="001C77C8" w:rsidRDefault="00900930" w:rsidP="00591FE8">
            <w:pPr>
              <w:widowControl/>
              <w:autoSpaceDE/>
              <w:autoSpaceDN/>
              <w:rPr>
                <w:rFonts w:eastAsia="Times New Roman"/>
                <w:b/>
                <w:bCs/>
                <w:color w:val="000000"/>
                <w:sz w:val="18"/>
                <w:szCs w:val="18"/>
                <w:lang w:bidi="ar-SA"/>
              </w:rPr>
            </w:pPr>
          </w:p>
        </w:tc>
        <w:tc>
          <w:tcPr>
            <w:tcW w:w="1255" w:type="dxa"/>
            <w:tcBorders>
              <w:top w:val="nil"/>
              <w:left w:val="nil"/>
              <w:bottom w:val="single" w:sz="4" w:space="0" w:color="auto"/>
              <w:right w:val="single" w:sz="4" w:space="0" w:color="auto"/>
            </w:tcBorders>
            <w:shd w:val="clear" w:color="auto" w:fill="auto"/>
            <w:noWrap/>
            <w:vAlign w:val="bottom"/>
            <w:hideMark/>
          </w:tcPr>
          <w:p w:rsidR="00900930" w:rsidRPr="001C77C8" w:rsidRDefault="00900930" w:rsidP="00591FE8">
            <w:pPr>
              <w:widowControl/>
              <w:autoSpaceDE/>
              <w:autoSpaceDN/>
              <w:jc w:val="center"/>
              <w:rPr>
                <w:rFonts w:eastAsia="Times New Roman"/>
                <w:b/>
                <w:bCs/>
                <w:color w:val="000000"/>
                <w:sz w:val="18"/>
                <w:szCs w:val="18"/>
                <w:lang w:bidi="ar-SA"/>
              </w:rPr>
            </w:pPr>
            <w:r w:rsidRPr="001C77C8">
              <w:rPr>
                <w:rFonts w:eastAsia="Times New Roman"/>
                <w:b/>
                <w:bCs/>
                <w:color w:val="000000"/>
                <w:sz w:val="18"/>
                <w:szCs w:val="18"/>
                <w:lang w:bidi="ar-SA"/>
              </w:rPr>
              <w:t xml:space="preserve">PUBLICOS </w:t>
            </w:r>
          </w:p>
        </w:tc>
        <w:tc>
          <w:tcPr>
            <w:tcW w:w="1255" w:type="dxa"/>
            <w:tcBorders>
              <w:top w:val="nil"/>
              <w:left w:val="nil"/>
              <w:bottom w:val="single" w:sz="4" w:space="0" w:color="auto"/>
              <w:right w:val="single" w:sz="4" w:space="0" w:color="auto"/>
            </w:tcBorders>
            <w:shd w:val="clear" w:color="auto" w:fill="auto"/>
            <w:noWrap/>
            <w:vAlign w:val="bottom"/>
            <w:hideMark/>
          </w:tcPr>
          <w:p w:rsidR="00900930" w:rsidRPr="001C77C8" w:rsidRDefault="00900930" w:rsidP="00591FE8">
            <w:pPr>
              <w:widowControl/>
              <w:autoSpaceDE/>
              <w:autoSpaceDN/>
              <w:jc w:val="center"/>
              <w:rPr>
                <w:rFonts w:eastAsia="Times New Roman"/>
                <w:b/>
                <w:bCs/>
                <w:color w:val="000000"/>
                <w:sz w:val="18"/>
                <w:szCs w:val="18"/>
                <w:lang w:bidi="ar-SA"/>
              </w:rPr>
            </w:pPr>
            <w:r w:rsidRPr="001C77C8">
              <w:rPr>
                <w:rFonts w:eastAsia="Times New Roman"/>
                <w:b/>
                <w:bCs/>
                <w:color w:val="000000"/>
                <w:sz w:val="18"/>
                <w:szCs w:val="18"/>
                <w:lang w:bidi="ar-SA"/>
              </w:rPr>
              <w:t xml:space="preserve">OFICIALES </w:t>
            </w:r>
          </w:p>
        </w:tc>
        <w:tc>
          <w:tcPr>
            <w:tcW w:w="1255" w:type="dxa"/>
            <w:tcBorders>
              <w:top w:val="nil"/>
              <w:left w:val="nil"/>
              <w:bottom w:val="single" w:sz="4" w:space="0" w:color="auto"/>
              <w:right w:val="single" w:sz="4" w:space="0" w:color="auto"/>
            </w:tcBorders>
            <w:shd w:val="clear" w:color="auto" w:fill="auto"/>
            <w:noWrap/>
            <w:vAlign w:val="bottom"/>
            <w:hideMark/>
          </w:tcPr>
          <w:p w:rsidR="00900930" w:rsidRPr="001C77C8" w:rsidRDefault="00900930" w:rsidP="00591FE8">
            <w:pPr>
              <w:widowControl/>
              <w:autoSpaceDE/>
              <w:autoSpaceDN/>
              <w:jc w:val="center"/>
              <w:rPr>
                <w:rFonts w:eastAsia="Times New Roman"/>
                <w:b/>
                <w:bCs/>
                <w:color w:val="000000"/>
                <w:sz w:val="18"/>
                <w:szCs w:val="18"/>
                <w:lang w:bidi="ar-SA"/>
              </w:rPr>
            </w:pPr>
            <w:r w:rsidRPr="001C77C8">
              <w:rPr>
                <w:rFonts w:eastAsia="Times New Roman"/>
                <w:b/>
                <w:bCs/>
                <w:color w:val="000000"/>
                <w:sz w:val="18"/>
                <w:szCs w:val="18"/>
                <w:lang w:bidi="ar-SA"/>
              </w:rPr>
              <w:t xml:space="preserve">PUBLICOS </w:t>
            </w:r>
          </w:p>
        </w:tc>
        <w:tc>
          <w:tcPr>
            <w:tcW w:w="1255" w:type="dxa"/>
            <w:tcBorders>
              <w:top w:val="nil"/>
              <w:left w:val="nil"/>
              <w:bottom w:val="single" w:sz="4" w:space="0" w:color="auto"/>
              <w:right w:val="single" w:sz="4" w:space="0" w:color="auto"/>
            </w:tcBorders>
            <w:shd w:val="clear" w:color="auto" w:fill="auto"/>
            <w:noWrap/>
            <w:vAlign w:val="bottom"/>
            <w:hideMark/>
          </w:tcPr>
          <w:p w:rsidR="00900930" w:rsidRPr="001C77C8" w:rsidRDefault="00900930" w:rsidP="00591FE8">
            <w:pPr>
              <w:widowControl/>
              <w:autoSpaceDE/>
              <w:autoSpaceDN/>
              <w:jc w:val="center"/>
              <w:rPr>
                <w:rFonts w:eastAsia="Times New Roman"/>
                <w:b/>
                <w:bCs/>
                <w:color w:val="000000"/>
                <w:sz w:val="18"/>
                <w:szCs w:val="18"/>
                <w:lang w:bidi="ar-SA"/>
              </w:rPr>
            </w:pPr>
            <w:r w:rsidRPr="001C77C8">
              <w:rPr>
                <w:rFonts w:eastAsia="Times New Roman"/>
                <w:b/>
                <w:bCs/>
                <w:color w:val="000000"/>
                <w:sz w:val="18"/>
                <w:szCs w:val="18"/>
                <w:lang w:bidi="ar-SA"/>
              </w:rPr>
              <w:t xml:space="preserve">OFICIALES </w:t>
            </w:r>
          </w:p>
        </w:tc>
        <w:tc>
          <w:tcPr>
            <w:tcW w:w="1300" w:type="dxa"/>
            <w:tcBorders>
              <w:top w:val="nil"/>
              <w:left w:val="nil"/>
              <w:bottom w:val="single" w:sz="4" w:space="0" w:color="auto"/>
              <w:right w:val="single" w:sz="4" w:space="0" w:color="auto"/>
            </w:tcBorders>
            <w:shd w:val="clear" w:color="auto" w:fill="auto"/>
            <w:noWrap/>
            <w:vAlign w:val="bottom"/>
            <w:hideMark/>
          </w:tcPr>
          <w:p w:rsidR="00900930" w:rsidRPr="001C77C8" w:rsidRDefault="00900930" w:rsidP="00591FE8">
            <w:pPr>
              <w:widowControl/>
              <w:autoSpaceDE/>
              <w:autoSpaceDN/>
              <w:jc w:val="center"/>
              <w:rPr>
                <w:rFonts w:eastAsia="Times New Roman"/>
                <w:b/>
                <w:bCs/>
                <w:color w:val="000000"/>
                <w:sz w:val="18"/>
                <w:szCs w:val="18"/>
                <w:lang w:bidi="ar-SA"/>
              </w:rPr>
            </w:pPr>
            <w:r w:rsidRPr="001C77C8">
              <w:rPr>
                <w:rFonts w:eastAsia="Times New Roman"/>
                <w:b/>
                <w:bCs/>
                <w:color w:val="000000"/>
                <w:sz w:val="18"/>
                <w:szCs w:val="18"/>
                <w:lang w:bidi="ar-SA"/>
              </w:rPr>
              <w:t xml:space="preserve">PUBLICOS </w:t>
            </w:r>
          </w:p>
        </w:tc>
        <w:tc>
          <w:tcPr>
            <w:tcW w:w="1300" w:type="dxa"/>
            <w:tcBorders>
              <w:top w:val="nil"/>
              <w:left w:val="nil"/>
              <w:bottom w:val="single" w:sz="4" w:space="0" w:color="auto"/>
              <w:right w:val="single" w:sz="4" w:space="0" w:color="auto"/>
            </w:tcBorders>
            <w:shd w:val="clear" w:color="auto" w:fill="auto"/>
            <w:noWrap/>
            <w:vAlign w:val="bottom"/>
            <w:hideMark/>
          </w:tcPr>
          <w:p w:rsidR="00900930" w:rsidRPr="001C77C8" w:rsidRDefault="00900930" w:rsidP="00591FE8">
            <w:pPr>
              <w:widowControl/>
              <w:autoSpaceDE/>
              <w:autoSpaceDN/>
              <w:jc w:val="center"/>
              <w:rPr>
                <w:rFonts w:eastAsia="Times New Roman"/>
                <w:b/>
                <w:bCs/>
                <w:color w:val="000000"/>
                <w:sz w:val="18"/>
                <w:szCs w:val="18"/>
                <w:lang w:bidi="ar-SA"/>
              </w:rPr>
            </w:pPr>
            <w:r w:rsidRPr="001C77C8">
              <w:rPr>
                <w:rFonts w:eastAsia="Times New Roman"/>
                <w:b/>
                <w:bCs/>
                <w:color w:val="000000"/>
                <w:sz w:val="18"/>
                <w:szCs w:val="18"/>
                <w:lang w:bidi="ar-SA"/>
              </w:rPr>
              <w:t xml:space="preserve">OFICIALES </w:t>
            </w:r>
          </w:p>
        </w:tc>
      </w:tr>
      <w:tr w:rsidR="00D309FE" w:rsidRPr="001C77C8" w:rsidTr="00505A13">
        <w:trPr>
          <w:trHeight w:val="300"/>
        </w:trPr>
        <w:tc>
          <w:tcPr>
            <w:tcW w:w="1311" w:type="dxa"/>
            <w:tcBorders>
              <w:top w:val="nil"/>
              <w:left w:val="single" w:sz="4" w:space="0" w:color="auto"/>
              <w:bottom w:val="single" w:sz="4" w:space="0" w:color="auto"/>
              <w:right w:val="single" w:sz="4" w:space="0" w:color="auto"/>
            </w:tcBorders>
            <w:shd w:val="clear" w:color="auto" w:fill="FFFFFF" w:themeFill="background1"/>
            <w:noWrap/>
            <w:vAlign w:val="bottom"/>
          </w:tcPr>
          <w:p w:rsidR="00D309FE" w:rsidRPr="001C77C8" w:rsidRDefault="00D309FE" w:rsidP="00591FE8">
            <w:pPr>
              <w:widowControl/>
              <w:autoSpaceDE/>
              <w:autoSpaceDN/>
              <w:rPr>
                <w:rFonts w:eastAsia="Times New Roman"/>
                <w:b/>
                <w:color w:val="000000"/>
                <w:sz w:val="18"/>
                <w:szCs w:val="18"/>
                <w:lang w:bidi="ar-SA"/>
              </w:rPr>
            </w:pPr>
            <w:r>
              <w:rPr>
                <w:rFonts w:eastAsia="Times New Roman"/>
                <w:b/>
                <w:color w:val="000000"/>
                <w:sz w:val="18"/>
                <w:szCs w:val="18"/>
                <w:lang w:bidi="ar-SA"/>
              </w:rPr>
              <w:t>ABRIL</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rPr>
            </w:pPr>
            <w:r>
              <w:rPr>
                <w:rFonts w:ascii="Calibri" w:hAnsi="Calibri"/>
              </w:rPr>
              <w:t>66.310.273</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rPr>
            </w:pPr>
            <w:r>
              <w:rPr>
                <w:rFonts w:ascii="Calibri" w:hAnsi="Calibri"/>
              </w:rPr>
              <w:t>67.996.732</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color w:val="000000"/>
              </w:rPr>
            </w:pPr>
            <w:r>
              <w:rPr>
                <w:rFonts w:ascii="Calibri" w:hAnsi="Calibri"/>
                <w:color w:val="000000"/>
              </w:rPr>
              <w:t>72.202.974</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rPr>
            </w:pPr>
            <w:r>
              <w:rPr>
                <w:rFonts w:ascii="Calibri" w:hAnsi="Calibri"/>
              </w:rPr>
              <w:t>79.147.493</w:t>
            </w:r>
          </w:p>
        </w:tc>
        <w:tc>
          <w:tcPr>
            <w:tcW w:w="1300"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color w:val="000000"/>
              </w:rPr>
            </w:pPr>
            <w:r>
              <w:rPr>
                <w:rFonts w:ascii="Calibri" w:hAnsi="Calibri"/>
                <w:color w:val="000000"/>
              </w:rPr>
              <w:t>89.731.805</w:t>
            </w:r>
          </w:p>
        </w:tc>
        <w:tc>
          <w:tcPr>
            <w:tcW w:w="1300"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rPr>
            </w:pPr>
            <w:r>
              <w:rPr>
                <w:rFonts w:ascii="Calibri" w:hAnsi="Calibri"/>
              </w:rPr>
              <w:t>95.420.443</w:t>
            </w:r>
          </w:p>
        </w:tc>
      </w:tr>
      <w:tr w:rsidR="00D309FE" w:rsidRPr="001C77C8" w:rsidTr="00505A13">
        <w:trPr>
          <w:trHeight w:val="300"/>
        </w:trPr>
        <w:tc>
          <w:tcPr>
            <w:tcW w:w="1311" w:type="dxa"/>
            <w:tcBorders>
              <w:top w:val="nil"/>
              <w:left w:val="single" w:sz="4" w:space="0" w:color="auto"/>
              <w:bottom w:val="single" w:sz="4" w:space="0" w:color="auto"/>
              <w:right w:val="single" w:sz="4" w:space="0" w:color="auto"/>
            </w:tcBorders>
            <w:shd w:val="clear" w:color="auto" w:fill="FFFFFF" w:themeFill="background1"/>
            <w:noWrap/>
            <w:vAlign w:val="bottom"/>
          </w:tcPr>
          <w:p w:rsidR="00D309FE" w:rsidRPr="001C77C8" w:rsidRDefault="00D309FE" w:rsidP="00591FE8">
            <w:pPr>
              <w:widowControl/>
              <w:autoSpaceDE/>
              <w:autoSpaceDN/>
              <w:rPr>
                <w:rFonts w:eastAsia="Times New Roman"/>
                <w:b/>
                <w:color w:val="000000"/>
                <w:sz w:val="18"/>
                <w:szCs w:val="18"/>
                <w:lang w:bidi="ar-SA"/>
              </w:rPr>
            </w:pPr>
            <w:r>
              <w:rPr>
                <w:rFonts w:eastAsia="Times New Roman"/>
                <w:b/>
                <w:color w:val="000000"/>
                <w:sz w:val="18"/>
                <w:szCs w:val="18"/>
                <w:lang w:bidi="ar-SA"/>
              </w:rPr>
              <w:t>MAYO</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rPr>
            </w:pPr>
            <w:r>
              <w:rPr>
                <w:rFonts w:ascii="Calibri" w:hAnsi="Calibri"/>
              </w:rPr>
              <w:t>82.392.586</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rPr>
            </w:pPr>
            <w:r>
              <w:rPr>
                <w:rFonts w:ascii="Calibri" w:hAnsi="Calibri"/>
              </w:rPr>
              <w:t>109.174.823</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color w:val="000000"/>
              </w:rPr>
            </w:pPr>
            <w:r>
              <w:rPr>
                <w:rFonts w:ascii="Calibri" w:hAnsi="Calibri"/>
                <w:color w:val="000000"/>
              </w:rPr>
              <w:t>90.262.524</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rPr>
            </w:pPr>
            <w:r>
              <w:rPr>
                <w:rFonts w:ascii="Calibri" w:hAnsi="Calibri"/>
              </w:rPr>
              <w:t>108.062.632</w:t>
            </w:r>
          </w:p>
        </w:tc>
        <w:tc>
          <w:tcPr>
            <w:tcW w:w="1300"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color w:val="000000"/>
              </w:rPr>
            </w:pPr>
            <w:r>
              <w:rPr>
                <w:rFonts w:ascii="Calibri" w:hAnsi="Calibri"/>
                <w:color w:val="000000"/>
              </w:rPr>
              <w:t>106.086.606</w:t>
            </w:r>
          </w:p>
        </w:tc>
        <w:tc>
          <w:tcPr>
            <w:tcW w:w="1300"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rPr>
            </w:pPr>
            <w:r>
              <w:rPr>
                <w:rFonts w:ascii="Calibri" w:hAnsi="Calibri"/>
              </w:rPr>
              <w:t>80.602.676</w:t>
            </w:r>
          </w:p>
        </w:tc>
      </w:tr>
      <w:tr w:rsidR="00D309FE" w:rsidRPr="001C77C8" w:rsidTr="00505A13">
        <w:trPr>
          <w:trHeight w:val="300"/>
        </w:trPr>
        <w:tc>
          <w:tcPr>
            <w:tcW w:w="1311" w:type="dxa"/>
            <w:tcBorders>
              <w:top w:val="nil"/>
              <w:left w:val="single" w:sz="4" w:space="0" w:color="auto"/>
              <w:bottom w:val="single" w:sz="4" w:space="0" w:color="auto"/>
              <w:right w:val="single" w:sz="4" w:space="0" w:color="auto"/>
            </w:tcBorders>
            <w:shd w:val="clear" w:color="auto" w:fill="FFFFFF" w:themeFill="background1"/>
            <w:noWrap/>
            <w:vAlign w:val="bottom"/>
          </w:tcPr>
          <w:p w:rsidR="00D309FE" w:rsidRPr="001C77C8" w:rsidRDefault="00D309FE" w:rsidP="00591FE8">
            <w:pPr>
              <w:widowControl/>
              <w:autoSpaceDE/>
              <w:autoSpaceDN/>
              <w:rPr>
                <w:rFonts w:eastAsia="Times New Roman"/>
                <w:b/>
                <w:color w:val="000000"/>
                <w:sz w:val="18"/>
                <w:szCs w:val="18"/>
                <w:lang w:bidi="ar-SA"/>
              </w:rPr>
            </w:pPr>
            <w:r>
              <w:rPr>
                <w:rFonts w:eastAsia="Times New Roman"/>
                <w:b/>
                <w:color w:val="000000"/>
                <w:sz w:val="18"/>
                <w:szCs w:val="18"/>
                <w:lang w:bidi="ar-SA"/>
              </w:rPr>
              <w:t>JUNIO</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rPr>
            </w:pPr>
            <w:r>
              <w:rPr>
                <w:rFonts w:ascii="Calibri" w:hAnsi="Calibri"/>
              </w:rPr>
              <w:t>67.215.869</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rPr>
            </w:pPr>
            <w:r>
              <w:rPr>
                <w:rFonts w:ascii="Calibri" w:hAnsi="Calibri"/>
              </w:rPr>
              <w:t>59.398.709</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color w:val="000000"/>
              </w:rPr>
            </w:pPr>
            <w:r>
              <w:rPr>
                <w:rFonts w:ascii="Calibri" w:hAnsi="Calibri"/>
                <w:color w:val="000000"/>
              </w:rPr>
              <w:t>72.202.974</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color w:val="000000"/>
              </w:rPr>
            </w:pPr>
            <w:r>
              <w:rPr>
                <w:rFonts w:ascii="Calibri" w:hAnsi="Calibri"/>
                <w:color w:val="000000"/>
              </w:rPr>
              <w:t>79.147.493</w:t>
            </w:r>
          </w:p>
        </w:tc>
        <w:tc>
          <w:tcPr>
            <w:tcW w:w="1300"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color w:val="000000"/>
              </w:rPr>
            </w:pPr>
          </w:p>
        </w:tc>
      </w:tr>
      <w:tr w:rsidR="00D309FE" w:rsidRPr="001C77C8" w:rsidTr="00505A13">
        <w:trPr>
          <w:trHeight w:val="300"/>
        </w:trPr>
        <w:tc>
          <w:tcPr>
            <w:tcW w:w="1311" w:type="dxa"/>
            <w:tcBorders>
              <w:top w:val="nil"/>
              <w:left w:val="single" w:sz="4" w:space="0" w:color="auto"/>
              <w:bottom w:val="single" w:sz="4" w:space="0" w:color="auto"/>
              <w:right w:val="single" w:sz="4" w:space="0" w:color="auto"/>
            </w:tcBorders>
            <w:shd w:val="clear" w:color="auto" w:fill="auto"/>
            <w:noWrap/>
            <w:vAlign w:val="bottom"/>
            <w:hideMark/>
          </w:tcPr>
          <w:p w:rsidR="00D309FE" w:rsidRPr="00D309FE" w:rsidRDefault="00D309FE" w:rsidP="00D309FE">
            <w:pPr>
              <w:widowControl/>
              <w:autoSpaceDE/>
              <w:autoSpaceDN/>
              <w:rPr>
                <w:rFonts w:ascii="Arial Narrow" w:hAnsi="Arial Narrow"/>
                <w:b/>
                <w:bCs/>
                <w:color w:val="000000"/>
                <w:sz w:val="18"/>
                <w:szCs w:val="18"/>
              </w:rPr>
            </w:pPr>
            <w:r w:rsidRPr="00D309FE">
              <w:rPr>
                <w:rFonts w:eastAsia="Times New Roman"/>
                <w:b/>
                <w:color w:val="000000"/>
                <w:sz w:val="18"/>
                <w:szCs w:val="18"/>
                <w:lang w:bidi="ar-SA"/>
              </w:rPr>
              <w:t>SUBTOTAL</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color w:val="000000"/>
              </w:rPr>
            </w:pPr>
            <w:r>
              <w:rPr>
                <w:rFonts w:ascii="Calibri" w:hAnsi="Calibri"/>
                <w:color w:val="000000"/>
              </w:rPr>
              <w:t>215.918.728</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color w:val="000000"/>
              </w:rPr>
            </w:pPr>
            <w:r>
              <w:rPr>
                <w:rFonts w:ascii="Calibri" w:hAnsi="Calibri"/>
                <w:color w:val="000000"/>
              </w:rPr>
              <w:t>236.570.264</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color w:val="000000"/>
              </w:rPr>
            </w:pPr>
            <w:r>
              <w:rPr>
                <w:rFonts w:ascii="Calibri" w:hAnsi="Calibri"/>
                <w:color w:val="000000"/>
              </w:rPr>
              <w:t>234.668.472</w:t>
            </w:r>
          </w:p>
        </w:tc>
        <w:tc>
          <w:tcPr>
            <w:tcW w:w="1255" w:type="dxa"/>
            <w:tcBorders>
              <w:top w:val="nil"/>
              <w:left w:val="nil"/>
              <w:bottom w:val="single" w:sz="4" w:space="0" w:color="auto"/>
              <w:right w:val="single" w:sz="4" w:space="0" w:color="auto"/>
            </w:tcBorders>
            <w:shd w:val="clear" w:color="auto" w:fill="auto"/>
            <w:noWrap/>
            <w:vAlign w:val="bottom"/>
          </w:tcPr>
          <w:p w:rsidR="00D309FE" w:rsidRDefault="00D309FE">
            <w:pPr>
              <w:jc w:val="right"/>
              <w:rPr>
                <w:rFonts w:ascii="Calibri" w:hAnsi="Calibri"/>
                <w:color w:val="000000"/>
              </w:rPr>
            </w:pPr>
            <w:r>
              <w:rPr>
                <w:rFonts w:ascii="Calibri" w:hAnsi="Calibri"/>
                <w:color w:val="000000"/>
              </w:rPr>
              <w:t>266</w:t>
            </w:r>
            <w:r w:rsidR="00056575">
              <w:rPr>
                <w:rFonts w:ascii="Calibri" w:hAnsi="Calibri"/>
                <w:color w:val="000000"/>
              </w:rPr>
              <w:t>.</w:t>
            </w:r>
            <w:r>
              <w:rPr>
                <w:rFonts w:ascii="Calibri" w:hAnsi="Calibri"/>
                <w:color w:val="000000"/>
              </w:rPr>
              <w:t>357</w:t>
            </w:r>
            <w:r w:rsidR="00056575">
              <w:rPr>
                <w:rFonts w:ascii="Calibri" w:hAnsi="Calibri"/>
                <w:color w:val="000000"/>
              </w:rPr>
              <w:t>.</w:t>
            </w:r>
            <w:r>
              <w:rPr>
                <w:rFonts w:ascii="Calibri" w:hAnsi="Calibri"/>
                <w:color w:val="000000"/>
              </w:rPr>
              <w:t>618</w:t>
            </w:r>
          </w:p>
        </w:tc>
        <w:tc>
          <w:tcPr>
            <w:tcW w:w="1300" w:type="dxa"/>
            <w:tcBorders>
              <w:top w:val="nil"/>
              <w:left w:val="nil"/>
              <w:bottom w:val="single" w:sz="4" w:space="0" w:color="auto"/>
              <w:right w:val="single" w:sz="4" w:space="0" w:color="auto"/>
            </w:tcBorders>
            <w:shd w:val="clear" w:color="auto" w:fill="auto"/>
            <w:noWrap/>
            <w:vAlign w:val="bottom"/>
          </w:tcPr>
          <w:p w:rsidR="00D309FE" w:rsidRPr="006B7040" w:rsidRDefault="00D309FE">
            <w:pPr>
              <w:jc w:val="right"/>
              <w:rPr>
                <w:rFonts w:ascii="Calibri" w:hAnsi="Calibri"/>
                <w:color w:val="000000"/>
              </w:rPr>
            </w:pPr>
          </w:p>
        </w:tc>
        <w:tc>
          <w:tcPr>
            <w:tcW w:w="1300" w:type="dxa"/>
            <w:tcBorders>
              <w:top w:val="nil"/>
              <w:left w:val="nil"/>
              <w:bottom w:val="single" w:sz="4" w:space="0" w:color="auto"/>
              <w:right w:val="single" w:sz="4" w:space="0" w:color="auto"/>
            </w:tcBorders>
            <w:shd w:val="clear" w:color="auto" w:fill="auto"/>
            <w:noWrap/>
            <w:vAlign w:val="bottom"/>
          </w:tcPr>
          <w:p w:rsidR="00D309FE" w:rsidRPr="006B7040" w:rsidRDefault="00D309FE">
            <w:pPr>
              <w:jc w:val="right"/>
              <w:rPr>
                <w:rFonts w:ascii="Calibri" w:hAnsi="Calibri"/>
                <w:color w:val="000000"/>
              </w:rPr>
            </w:pPr>
          </w:p>
        </w:tc>
      </w:tr>
      <w:tr w:rsidR="003B6A95" w:rsidRPr="001C77C8" w:rsidTr="003B6A95">
        <w:trPr>
          <w:trHeight w:val="300"/>
        </w:trPr>
        <w:tc>
          <w:tcPr>
            <w:tcW w:w="1311"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3B6A95" w:rsidRPr="001C77C8" w:rsidRDefault="003B6A95" w:rsidP="00527AA9">
            <w:pPr>
              <w:widowControl/>
              <w:autoSpaceDE/>
              <w:autoSpaceDN/>
              <w:jc w:val="center"/>
              <w:rPr>
                <w:rFonts w:eastAsia="Times New Roman"/>
                <w:b/>
                <w:bCs/>
                <w:color w:val="000000"/>
                <w:sz w:val="18"/>
                <w:szCs w:val="18"/>
                <w:lang w:bidi="ar-SA"/>
              </w:rPr>
            </w:pPr>
            <w:r w:rsidRPr="001C77C8">
              <w:rPr>
                <w:rFonts w:eastAsia="Times New Roman"/>
                <w:b/>
                <w:bCs/>
                <w:color w:val="000000"/>
                <w:sz w:val="18"/>
                <w:szCs w:val="18"/>
                <w:lang w:bidi="ar-SA"/>
              </w:rPr>
              <w:t>TOTAL</w:t>
            </w:r>
          </w:p>
        </w:tc>
        <w:tc>
          <w:tcPr>
            <w:tcW w:w="2510"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3B6A95" w:rsidRPr="00D309FE" w:rsidRDefault="00D309FE" w:rsidP="00D309FE">
            <w:pPr>
              <w:widowControl/>
              <w:autoSpaceDE/>
              <w:autoSpaceDN/>
              <w:jc w:val="center"/>
              <w:rPr>
                <w:rFonts w:ascii="Calibri" w:hAnsi="Calibri"/>
                <w:color w:val="000000"/>
              </w:rPr>
            </w:pPr>
            <w:r w:rsidRPr="00D309FE">
              <w:rPr>
                <w:rFonts w:eastAsia="Times New Roman"/>
                <w:b/>
                <w:bCs/>
                <w:color w:val="000000"/>
                <w:sz w:val="18"/>
                <w:szCs w:val="18"/>
                <w:lang w:bidi="ar-SA"/>
              </w:rPr>
              <w:t>452</w:t>
            </w:r>
            <w:r>
              <w:rPr>
                <w:rFonts w:eastAsia="Times New Roman"/>
                <w:b/>
                <w:bCs/>
                <w:color w:val="000000"/>
                <w:sz w:val="18"/>
                <w:szCs w:val="18"/>
                <w:lang w:bidi="ar-SA"/>
              </w:rPr>
              <w:t>.</w:t>
            </w:r>
            <w:r w:rsidRPr="00D309FE">
              <w:rPr>
                <w:rFonts w:eastAsia="Times New Roman"/>
                <w:b/>
                <w:bCs/>
                <w:color w:val="000000"/>
                <w:sz w:val="18"/>
                <w:szCs w:val="18"/>
                <w:lang w:bidi="ar-SA"/>
              </w:rPr>
              <w:t>488</w:t>
            </w:r>
            <w:r>
              <w:rPr>
                <w:rFonts w:eastAsia="Times New Roman"/>
                <w:b/>
                <w:bCs/>
                <w:color w:val="000000"/>
                <w:sz w:val="18"/>
                <w:szCs w:val="18"/>
                <w:lang w:bidi="ar-SA"/>
              </w:rPr>
              <w:t>.</w:t>
            </w:r>
            <w:r w:rsidRPr="00D309FE">
              <w:rPr>
                <w:rFonts w:eastAsia="Times New Roman"/>
                <w:b/>
                <w:bCs/>
                <w:color w:val="000000"/>
                <w:sz w:val="18"/>
                <w:szCs w:val="18"/>
                <w:lang w:bidi="ar-SA"/>
              </w:rPr>
              <w:t>992</w:t>
            </w:r>
          </w:p>
        </w:tc>
        <w:tc>
          <w:tcPr>
            <w:tcW w:w="2510"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3B6A95" w:rsidRPr="00056575" w:rsidRDefault="00056575" w:rsidP="00056575">
            <w:pPr>
              <w:widowControl/>
              <w:autoSpaceDE/>
              <w:autoSpaceDN/>
              <w:jc w:val="center"/>
              <w:rPr>
                <w:rFonts w:ascii="Calibri" w:hAnsi="Calibri"/>
                <w:color w:val="000000"/>
              </w:rPr>
            </w:pPr>
            <w:r w:rsidRPr="00056575">
              <w:rPr>
                <w:rFonts w:eastAsia="Times New Roman"/>
                <w:b/>
                <w:bCs/>
                <w:color w:val="000000"/>
                <w:sz w:val="18"/>
                <w:szCs w:val="18"/>
                <w:lang w:bidi="ar-SA"/>
              </w:rPr>
              <w:t>501</w:t>
            </w:r>
            <w:r>
              <w:rPr>
                <w:rFonts w:eastAsia="Times New Roman"/>
                <w:b/>
                <w:bCs/>
                <w:color w:val="000000"/>
                <w:sz w:val="18"/>
                <w:szCs w:val="18"/>
                <w:lang w:bidi="ar-SA"/>
              </w:rPr>
              <w:t>.</w:t>
            </w:r>
            <w:r w:rsidRPr="00056575">
              <w:rPr>
                <w:rFonts w:eastAsia="Times New Roman"/>
                <w:b/>
                <w:bCs/>
                <w:color w:val="000000"/>
                <w:sz w:val="18"/>
                <w:szCs w:val="18"/>
                <w:lang w:bidi="ar-SA"/>
              </w:rPr>
              <w:t>026</w:t>
            </w:r>
            <w:r>
              <w:rPr>
                <w:rFonts w:eastAsia="Times New Roman"/>
                <w:b/>
                <w:bCs/>
                <w:color w:val="000000"/>
                <w:sz w:val="18"/>
                <w:szCs w:val="18"/>
                <w:lang w:bidi="ar-SA"/>
              </w:rPr>
              <w:t>.</w:t>
            </w:r>
            <w:r w:rsidRPr="00056575">
              <w:rPr>
                <w:rFonts w:eastAsia="Times New Roman"/>
                <w:b/>
                <w:bCs/>
                <w:color w:val="000000"/>
                <w:sz w:val="18"/>
                <w:szCs w:val="18"/>
                <w:lang w:bidi="ar-SA"/>
              </w:rPr>
              <w:t>090</w:t>
            </w:r>
          </w:p>
        </w:tc>
        <w:tc>
          <w:tcPr>
            <w:tcW w:w="2600"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3B6A95" w:rsidRPr="006B7040" w:rsidRDefault="003B6A95" w:rsidP="00115AF2">
            <w:pPr>
              <w:widowControl/>
              <w:autoSpaceDE/>
              <w:autoSpaceDN/>
              <w:jc w:val="center"/>
              <w:rPr>
                <w:rFonts w:ascii="Calibri" w:hAnsi="Calibri"/>
                <w:color w:val="000000"/>
              </w:rPr>
            </w:pPr>
          </w:p>
        </w:tc>
      </w:tr>
    </w:tbl>
    <w:p w:rsidR="00591FE8" w:rsidRPr="00FE016C" w:rsidRDefault="00FE016C" w:rsidP="00966CAB">
      <w:pPr>
        <w:pStyle w:val="Ttulo1"/>
        <w:tabs>
          <w:tab w:val="left" w:pos="586"/>
          <w:tab w:val="left" w:pos="1276"/>
        </w:tabs>
        <w:spacing w:line="276" w:lineRule="auto"/>
        <w:ind w:left="0" w:right="505"/>
        <w:jc w:val="center"/>
        <w:rPr>
          <w:sz w:val="20"/>
        </w:rPr>
      </w:pPr>
      <w:r w:rsidRPr="00966CAB">
        <w:rPr>
          <w:sz w:val="18"/>
        </w:rPr>
        <w:t>Fuente: Informe de Austeridad - Subgerencia Administrativa</w:t>
      </w:r>
    </w:p>
    <w:p w:rsidR="00FE016C" w:rsidRDefault="00FE016C" w:rsidP="00591FE8">
      <w:pPr>
        <w:pStyle w:val="Ttulo1"/>
        <w:tabs>
          <w:tab w:val="left" w:pos="586"/>
        </w:tabs>
        <w:spacing w:line="276" w:lineRule="auto"/>
        <w:ind w:right="505"/>
      </w:pPr>
    </w:p>
    <w:p w:rsidR="00FE016C" w:rsidRDefault="00FE016C" w:rsidP="00591FE8">
      <w:pPr>
        <w:pStyle w:val="Ttulo1"/>
        <w:tabs>
          <w:tab w:val="left" w:pos="586"/>
        </w:tabs>
        <w:spacing w:line="276" w:lineRule="auto"/>
        <w:ind w:right="505"/>
      </w:pPr>
    </w:p>
    <w:tbl>
      <w:tblPr>
        <w:tblW w:w="8930" w:type="dxa"/>
        <w:tblInd w:w="354" w:type="dxa"/>
        <w:tblCellMar>
          <w:left w:w="70" w:type="dxa"/>
          <w:right w:w="70" w:type="dxa"/>
        </w:tblCellMar>
        <w:tblLook w:val="04A0" w:firstRow="1" w:lastRow="0" w:firstColumn="1" w:lastColumn="0" w:noHBand="0" w:noVBand="1"/>
      </w:tblPr>
      <w:tblGrid>
        <w:gridCol w:w="1904"/>
        <w:gridCol w:w="1442"/>
        <w:gridCol w:w="1473"/>
        <w:gridCol w:w="1418"/>
        <w:gridCol w:w="1276"/>
        <w:gridCol w:w="1417"/>
      </w:tblGrid>
      <w:tr w:rsidR="00D71BFF" w:rsidRPr="002949CB" w:rsidTr="00D71BFF">
        <w:trPr>
          <w:trHeight w:val="303"/>
        </w:trPr>
        <w:tc>
          <w:tcPr>
            <w:tcW w:w="1904" w:type="dxa"/>
            <w:tcBorders>
              <w:top w:val="nil"/>
              <w:left w:val="nil"/>
              <w:bottom w:val="nil"/>
              <w:right w:val="nil"/>
            </w:tcBorders>
            <w:shd w:val="clear" w:color="auto" w:fill="auto"/>
            <w:noWrap/>
            <w:vAlign w:val="bottom"/>
            <w:hideMark/>
          </w:tcPr>
          <w:p w:rsidR="00D71BFF" w:rsidRPr="002949CB" w:rsidRDefault="00D71BFF" w:rsidP="002949CB">
            <w:pPr>
              <w:widowControl/>
              <w:autoSpaceDE/>
              <w:autoSpaceDN/>
              <w:rPr>
                <w:rFonts w:ascii="Calibri" w:eastAsia="Times New Roman" w:hAnsi="Calibri" w:cs="Times New Roman"/>
                <w:color w:val="000000"/>
                <w:lang w:bidi="ar-SA"/>
              </w:rPr>
            </w:pPr>
          </w:p>
        </w:tc>
        <w:tc>
          <w:tcPr>
            <w:tcW w:w="144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5204AA" w:rsidRDefault="003E21E0" w:rsidP="00250183">
            <w:pPr>
              <w:widowControl/>
              <w:autoSpaceDE/>
              <w:autoSpaceDN/>
              <w:jc w:val="center"/>
              <w:rPr>
                <w:rFonts w:eastAsia="Times New Roman"/>
                <w:b/>
                <w:bCs/>
                <w:color w:val="000000"/>
                <w:sz w:val="18"/>
                <w:szCs w:val="18"/>
                <w:lang w:bidi="ar-SA"/>
              </w:rPr>
            </w:pPr>
            <w:r>
              <w:rPr>
                <w:rFonts w:eastAsia="Times New Roman"/>
                <w:b/>
                <w:bCs/>
                <w:color w:val="000000"/>
                <w:sz w:val="18"/>
                <w:szCs w:val="18"/>
                <w:lang w:bidi="ar-SA"/>
              </w:rPr>
              <w:t>Segundo</w:t>
            </w:r>
          </w:p>
          <w:p w:rsidR="00D71BFF" w:rsidRPr="004F00E5" w:rsidRDefault="003E21E0" w:rsidP="00250183">
            <w:pPr>
              <w:widowControl/>
              <w:autoSpaceDE/>
              <w:autoSpaceDN/>
              <w:jc w:val="center"/>
              <w:rPr>
                <w:rFonts w:eastAsia="Times New Roman"/>
                <w:b/>
                <w:bCs/>
                <w:color w:val="000000"/>
                <w:sz w:val="18"/>
                <w:szCs w:val="18"/>
                <w:lang w:bidi="ar-SA"/>
              </w:rPr>
            </w:pPr>
            <w:r>
              <w:rPr>
                <w:rFonts w:eastAsia="Times New Roman"/>
                <w:b/>
                <w:bCs/>
                <w:color w:val="000000"/>
                <w:sz w:val="18"/>
                <w:szCs w:val="18"/>
                <w:lang w:bidi="ar-SA"/>
              </w:rPr>
              <w:t>trimestre 2017</w:t>
            </w:r>
          </w:p>
        </w:tc>
        <w:tc>
          <w:tcPr>
            <w:tcW w:w="1473" w:type="dxa"/>
            <w:tcBorders>
              <w:top w:val="single" w:sz="4" w:space="0" w:color="auto"/>
              <w:left w:val="nil"/>
              <w:bottom w:val="single" w:sz="4" w:space="0" w:color="auto"/>
              <w:right w:val="single" w:sz="4" w:space="0" w:color="auto"/>
            </w:tcBorders>
            <w:shd w:val="clear" w:color="000000" w:fill="B8CCE4"/>
            <w:noWrap/>
            <w:vAlign w:val="center"/>
            <w:hideMark/>
          </w:tcPr>
          <w:p w:rsidR="003E21E0" w:rsidRDefault="003E21E0" w:rsidP="003E21E0">
            <w:pPr>
              <w:widowControl/>
              <w:autoSpaceDE/>
              <w:autoSpaceDN/>
              <w:jc w:val="center"/>
              <w:rPr>
                <w:rFonts w:eastAsia="Times New Roman"/>
                <w:b/>
                <w:bCs/>
                <w:color w:val="000000"/>
                <w:sz w:val="18"/>
                <w:szCs w:val="18"/>
                <w:lang w:bidi="ar-SA"/>
              </w:rPr>
            </w:pPr>
            <w:r>
              <w:rPr>
                <w:rFonts w:eastAsia="Times New Roman"/>
                <w:b/>
                <w:bCs/>
                <w:color w:val="000000"/>
                <w:sz w:val="18"/>
                <w:szCs w:val="18"/>
                <w:lang w:bidi="ar-SA"/>
              </w:rPr>
              <w:t>Segundo</w:t>
            </w:r>
          </w:p>
          <w:p w:rsidR="00D71BFF" w:rsidRPr="004F00E5" w:rsidRDefault="00D71BFF" w:rsidP="00250183">
            <w:pPr>
              <w:widowControl/>
              <w:autoSpaceDE/>
              <w:autoSpaceDN/>
              <w:jc w:val="center"/>
              <w:rPr>
                <w:rFonts w:eastAsia="Times New Roman"/>
                <w:b/>
                <w:bCs/>
                <w:color w:val="000000"/>
                <w:sz w:val="18"/>
                <w:szCs w:val="18"/>
                <w:lang w:bidi="ar-SA"/>
              </w:rPr>
            </w:pPr>
            <w:r w:rsidRPr="004F00E5">
              <w:rPr>
                <w:rFonts w:eastAsia="Times New Roman"/>
                <w:b/>
                <w:bCs/>
                <w:color w:val="000000"/>
                <w:sz w:val="18"/>
                <w:szCs w:val="18"/>
                <w:lang w:bidi="ar-SA"/>
              </w:rPr>
              <w:t xml:space="preserve">trimestre </w:t>
            </w:r>
            <w:r w:rsidR="003E21E0">
              <w:rPr>
                <w:rFonts w:eastAsia="Times New Roman"/>
                <w:b/>
                <w:bCs/>
                <w:color w:val="000000"/>
                <w:sz w:val="18"/>
                <w:szCs w:val="18"/>
                <w:lang w:bidi="ar-SA"/>
              </w:rPr>
              <w:t>2018</w:t>
            </w:r>
          </w:p>
        </w:tc>
        <w:tc>
          <w:tcPr>
            <w:tcW w:w="1418" w:type="dxa"/>
            <w:tcBorders>
              <w:top w:val="single" w:sz="4" w:space="0" w:color="auto"/>
              <w:left w:val="nil"/>
              <w:bottom w:val="single" w:sz="4" w:space="0" w:color="auto"/>
              <w:right w:val="single" w:sz="4" w:space="0" w:color="auto"/>
            </w:tcBorders>
            <w:shd w:val="clear" w:color="000000" w:fill="B8CCE4"/>
            <w:noWrap/>
            <w:vAlign w:val="center"/>
            <w:hideMark/>
          </w:tcPr>
          <w:p w:rsidR="003E21E0" w:rsidRDefault="003E21E0" w:rsidP="003E21E0">
            <w:pPr>
              <w:widowControl/>
              <w:autoSpaceDE/>
              <w:autoSpaceDN/>
              <w:jc w:val="center"/>
              <w:rPr>
                <w:rFonts w:eastAsia="Times New Roman"/>
                <w:b/>
                <w:bCs/>
                <w:color w:val="000000"/>
                <w:sz w:val="18"/>
                <w:szCs w:val="18"/>
                <w:lang w:bidi="ar-SA"/>
              </w:rPr>
            </w:pPr>
            <w:r>
              <w:rPr>
                <w:rFonts w:eastAsia="Times New Roman"/>
                <w:b/>
                <w:bCs/>
                <w:color w:val="000000"/>
                <w:sz w:val="18"/>
                <w:szCs w:val="18"/>
                <w:lang w:bidi="ar-SA"/>
              </w:rPr>
              <w:t>Segundo</w:t>
            </w:r>
          </w:p>
          <w:p w:rsidR="00D71BFF" w:rsidRPr="004F00E5" w:rsidRDefault="00D71BFF" w:rsidP="003E21E0">
            <w:pPr>
              <w:widowControl/>
              <w:autoSpaceDE/>
              <w:autoSpaceDN/>
              <w:jc w:val="center"/>
              <w:rPr>
                <w:rFonts w:eastAsia="Times New Roman"/>
                <w:b/>
                <w:bCs/>
                <w:color w:val="000000"/>
                <w:sz w:val="18"/>
                <w:szCs w:val="18"/>
                <w:lang w:bidi="ar-SA"/>
              </w:rPr>
            </w:pPr>
            <w:r w:rsidRPr="004F00E5">
              <w:rPr>
                <w:rFonts w:eastAsia="Times New Roman"/>
                <w:b/>
                <w:bCs/>
                <w:color w:val="000000"/>
                <w:sz w:val="18"/>
                <w:szCs w:val="18"/>
                <w:lang w:bidi="ar-SA"/>
              </w:rPr>
              <w:t xml:space="preserve"> trimestre 201</w:t>
            </w:r>
            <w:r w:rsidR="003E21E0">
              <w:rPr>
                <w:rFonts w:eastAsia="Times New Roman"/>
                <w:b/>
                <w:bCs/>
                <w:color w:val="000000"/>
                <w:sz w:val="18"/>
                <w:szCs w:val="18"/>
                <w:lang w:bidi="ar-SA"/>
              </w:rPr>
              <w:t>9</w:t>
            </w:r>
          </w:p>
        </w:tc>
        <w:tc>
          <w:tcPr>
            <w:tcW w:w="1276" w:type="dxa"/>
            <w:tcBorders>
              <w:top w:val="single" w:sz="4" w:space="0" w:color="auto"/>
              <w:left w:val="nil"/>
              <w:bottom w:val="single" w:sz="4" w:space="0" w:color="auto"/>
              <w:right w:val="single" w:sz="4" w:space="0" w:color="auto"/>
            </w:tcBorders>
            <w:shd w:val="clear" w:color="000000" w:fill="B8CCE4"/>
            <w:noWrap/>
            <w:vAlign w:val="center"/>
            <w:hideMark/>
          </w:tcPr>
          <w:p w:rsidR="00D71BFF" w:rsidRPr="002949CB" w:rsidRDefault="00D71BFF" w:rsidP="002949CB">
            <w:pPr>
              <w:widowControl/>
              <w:autoSpaceDE/>
              <w:autoSpaceDN/>
              <w:jc w:val="center"/>
              <w:rPr>
                <w:rFonts w:ascii="Calibri" w:eastAsia="Times New Roman" w:hAnsi="Calibri" w:cs="Times New Roman"/>
                <w:b/>
                <w:color w:val="000000"/>
                <w:lang w:bidi="ar-SA"/>
              </w:rPr>
            </w:pPr>
            <w:r w:rsidRPr="002949CB">
              <w:rPr>
                <w:rFonts w:ascii="Calibri" w:eastAsia="Times New Roman" w:hAnsi="Calibri" w:cs="Times New Roman"/>
                <w:b/>
                <w:color w:val="000000"/>
                <w:lang w:bidi="ar-SA"/>
              </w:rPr>
              <w:t>variación</w:t>
            </w:r>
          </w:p>
        </w:tc>
        <w:tc>
          <w:tcPr>
            <w:tcW w:w="1417" w:type="dxa"/>
            <w:tcBorders>
              <w:top w:val="single" w:sz="4" w:space="0" w:color="auto"/>
              <w:left w:val="nil"/>
              <w:bottom w:val="single" w:sz="4" w:space="0" w:color="auto"/>
              <w:right w:val="single" w:sz="4" w:space="0" w:color="auto"/>
            </w:tcBorders>
            <w:shd w:val="clear" w:color="000000" w:fill="B8CCE4"/>
            <w:noWrap/>
            <w:vAlign w:val="center"/>
            <w:hideMark/>
          </w:tcPr>
          <w:p w:rsidR="00D71BFF" w:rsidRPr="002949CB" w:rsidRDefault="00D71BFF" w:rsidP="002949CB">
            <w:pPr>
              <w:widowControl/>
              <w:autoSpaceDE/>
              <w:autoSpaceDN/>
              <w:jc w:val="center"/>
              <w:rPr>
                <w:rFonts w:ascii="Calibri" w:eastAsia="Times New Roman" w:hAnsi="Calibri" w:cs="Times New Roman"/>
                <w:b/>
                <w:color w:val="000000"/>
                <w:lang w:bidi="ar-SA"/>
              </w:rPr>
            </w:pPr>
            <w:r w:rsidRPr="002949CB">
              <w:rPr>
                <w:rFonts w:ascii="Calibri" w:eastAsia="Times New Roman" w:hAnsi="Calibri" w:cs="Times New Roman"/>
                <w:b/>
                <w:color w:val="000000"/>
                <w:lang w:bidi="ar-SA"/>
              </w:rPr>
              <w:t>variación %</w:t>
            </w:r>
          </w:p>
        </w:tc>
      </w:tr>
      <w:tr w:rsidR="0067553E" w:rsidRPr="002949CB" w:rsidTr="00EB43F0">
        <w:trPr>
          <w:trHeight w:val="303"/>
        </w:trPr>
        <w:tc>
          <w:tcPr>
            <w:tcW w:w="1904"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7553E" w:rsidRPr="007C2BC4" w:rsidRDefault="0067553E" w:rsidP="002949CB">
            <w:pPr>
              <w:widowControl/>
              <w:autoSpaceDE/>
              <w:autoSpaceDN/>
              <w:rPr>
                <w:rFonts w:eastAsia="Times New Roman"/>
                <w:b/>
                <w:color w:val="000000"/>
                <w:sz w:val="18"/>
                <w:lang w:bidi="ar-SA"/>
              </w:rPr>
            </w:pPr>
            <w:r w:rsidRPr="007C2BC4">
              <w:rPr>
                <w:rFonts w:eastAsia="Times New Roman"/>
                <w:b/>
                <w:color w:val="000000"/>
                <w:sz w:val="18"/>
                <w:lang w:bidi="ar-SA"/>
              </w:rPr>
              <w:t xml:space="preserve">Sueldo de Personal </w:t>
            </w:r>
          </w:p>
        </w:tc>
        <w:tc>
          <w:tcPr>
            <w:tcW w:w="1442" w:type="dxa"/>
            <w:tcBorders>
              <w:top w:val="nil"/>
              <w:left w:val="nil"/>
              <w:bottom w:val="single" w:sz="4" w:space="0" w:color="auto"/>
              <w:right w:val="single" w:sz="4" w:space="0" w:color="auto"/>
            </w:tcBorders>
            <w:shd w:val="clear" w:color="000000" w:fill="FFFFFF"/>
            <w:noWrap/>
            <w:vAlign w:val="center"/>
          </w:tcPr>
          <w:p w:rsidR="0067553E" w:rsidRDefault="0067553E" w:rsidP="003E21E0">
            <w:pPr>
              <w:jc w:val="right"/>
              <w:rPr>
                <w:color w:val="000000"/>
                <w:sz w:val="18"/>
                <w:szCs w:val="18"/>
              </w:rPr>
            </w:pPr>
            <w:r>
              <w:rPr>
                <w:color w:val="000000"/>
                <w:sz w:val="18"/>
                <w:szCs w:val="18"/>
              </w:rPr>
              <w:t>452.488.992</w:t>
            </w:r>
          </w:p>
        </w:tc>
        <w:tc>
          <w:tcPr>
            <w:tcW w:w="1473" w:type="dxa"/>
            <w:tcBorders>
              <w:top w:val="nil"/>
              <w:left w:val="nil"/>
              <w:bottom w:val="single" w:sz="4" w:space="0" w:color="auto"/>
              <w:right w:val="single" w:sz="4" w:space="0" w:color="auto"/>
            </w:tcBorders>
            <w:shd w:val="clear" w:color="000000" w:fill="FFFFFF"/>
            <w:noWrap/>
            <w:vAlign w:val="center"/>
          </w:tcPr>
          <w:p w:rsidR="0067553E" w:rsidRDefault="0067553E" w:rsidP="003E21E0">
            <w:pPr>
              <w:jc w:val="right"/>
              <w:rPr>
                <w:color w:val="000000"/>
                <w:sz w:val="18"/>
                <w:szCs w:val="18"/>
              </w:rPr>
            </w:pPr>
            <w:r>
              <w:rPr>
                <w:color w:val="000000"/>
                <w:sz w:val="18"/>
                <w:szCs w:val="18"/>
              </w:rPr>
              <w:t>501.026.618</w:t>
            </w:r>
          </w:p>
        </w:tc>
        <w:tc>
          <w:tcPr>
            <w:tcW w:w="1418" w:type="dxa"/>
            <w:tcBorders>
              <w:top w:val="nil"/>
              <w:left w:val="nil"/>
              <w:bottom w:val="single" w:sz="4" w:space="0" w:color="auto"/>
              <w:right w:val="single" w:sz="4" w:space="0" w:color="auto"/>
            </w:tcBorders>
            <w:shd w:val="clear" w:color="000000" w:fill="FFFFFF"/>
            <w:noWrap/>
            <w:vAlign w:val="center"/>
          </w:tcPr>
          <w:p w:rsidR="0067553E" w:rsidRDefault="0067553E" w:rsidP="0060045F">
            <w:pPr>
              <w:jc w:val="right"/>
              <w:rPr>
                <w:color w:val="000000"/>
                <w:sz w:val="18"/>
                <w:szCs w:val="18"/>
              </w:rPr>
            </w:pPr>
            <w:r>
              <w:rPr>
                <w:color w:val="000000"/>
                <w:sz w:val="18"/>
                <w:szCs w:val="18"/>
              </w:rPr>
              <w:t>510.323.000</w:t>
            </w:r>
          </w:p>
        </w:tc>
        <w:tc>
          <w:tcPr>
            <w:tcW w:w="1276" w:type="dxa"/>
            <w:tcBorders>
              <w:top w:val="nil"/>
              <w:left w:val="nil"/>
              <w:bottom w:val="single" w:sz="4" w:space="0" w:color="auto"/>
              <w:right w:val="single" w:sz="4" w:space="0" w:color="auto"/>
            </w:tcBorders>
            <w:shd w:val="clear" w:color="auto" w:fill="auto"/>
            <w:noWrap/>
            <w:vAlign w:val="bottom"/>
          </w:tcPr>
          <w:p w:rsidR="0067553E" w:rsidRDefault="0067553E">
            <w:pPr>
              <w:jc w:val="right"/>
              <w:rPr>
                <w:color w:val="000000"/>
                <w:sz w:val="18"/>
                <w:szCs w:val="18"/>
              </w:rPr>
            </w:pPr>
            <w:r>
              <w:rPr>
                <w:color w:val="000000"/>
                <w:sz w:val="18"/>
                <w:szCs w:val="18"/>
              </w:rPr>
              <w:t>9.296.391</w:t>
            </w:r>
          </w:p>
        </w:tc>
        <w:tc>
          <w:tcPr>
            <w:tcW w:w="1417" w:type="dxa"/>
            <w:tcBorders>
              <w:top w:val="nil"/>
              <w:left w:val="nil"/>
              <w:bottom w:val="single" w:sz="4" w:space="0" w:color="auto"/>
              <w:right w:val="single" w:sz="4" w:space="0" w:color="auto"/>
            </w:tcBorders>
            <w:shd w:val="clear" w:color="auto" w:fill="auto"/>
            <w:noWrap/>
            <w:vAlign w:val="bottom"/>
          </w:tcPr>
          <w:p w:rsidR="0067553E" w:rsidRDefault="0067553E">
            <w:pPr>
              <w:jc w:val="right"/>
              <w:rPr>
                <w:color w:val="000000"/>
                <w:sz w:val="18"/>
                <w:szCs w:val="18"/>
              </w:rPr>
            </w:pPr>
            <w:r>
              <w:rPr>
                <w:color w:val="000000"/>
                <w:sz w:val="18"/>
                <w:szCs w:val="18"/>
              </w:rPr>
              <w:t>1,86%</w:t>
            </w:r>
          </w:p>
        </w:tc>
      </w:tr>
      <w:tr w:rsidR="0067553E" w:rsidRPr="002949CB" w:rsidTr="00EB43F0">
        <w:trPr>
          <w:trHeight w:val="303"/>
        </w:trPr>
        <w:tc>
          <w:tcPr>
            <w:tcW w:w="1904" w:type="dxa"/>
            <w:tcBorders>
              <w:top w:val="nil"/>
              <w:left w:val="single" w:sz="4" w:space="0" w:color="auto"/>
              <w:bottom w:val="single" w:sz="4" w:space="0" w:color="auto"/>
              <w:right w:val="single" w:sz="4" w:space="0" w:color="auto"/>
            </w:tcBorders>
            <w:shd w:val="clear" w:color="000000" w:fill="B8CCE4"/>
            <w:noWrap/>
            <w:vAlign w:val="bottom"/>
            <w:hideMark/>
          </w:tcPr>
          <w:p w:rsidR="0067553E" w:rsidRPr="007C2BC4" w:rsidRDefault="0067553E" w:rsidP="002949CB">
            <w:pPr>
              <w:widowControl/>
              <w:autoSpaceDE/>
              <w:autoSpaceDN/>
              <w:rPr>
                <w:rFonts w:eastAsia="Times New Roman"/>
                <w:b/>
                <w:color w:val="000000"/>
                <w:sz w:val="18"/>
                <w:lang w:bidi="ar-SA"/>
              </w:rPr>
            </w:pPr>
            <w:r w:rsidRPr="007C2BC4">
              <w:rPr>
                <w:rFonts w:eastAsia="Times New Roman"/>
                <w:b/>
                <w:color w:val="000000"/>
                <w:sz w:val="18"/>
                <w:lang w:bidi="ar-SA"/>
              </w:rPr>
              <w:t>Horas Extras</w:t>
            </w:r>
          </w:p>
        </w:tc>
        <w:tc>
          <w:tcPr>
            <w:tcW w:w="1442" w:type="dxa"/>
            <w:tcBorders>
              <w:top w:val="nil"/>
              <w:left w:val="nil"/>
              <w:bottom w:val="single" w:sz="4" w:space="0" w:color="auto"/>
              <w:right w:val="single" w:sz="4" w:space="0" w:color="auto"/>
            </w:tcBorders>
            <w:shd w:val="clear" w:color="auto" w:fill="auto"/>
            <w:noWrap/>
            <w:vAlign w:val="center"/>
          </w:tcPr>
          <w:p w:rsidR="0067553E" w:rsidRDefault="0067553E" w:rsidP="003E21E0">
            <w:pPr>
              <w:jc w:val="right"/>
              <w:rPr>
                <w:color w:val="000000"/>
                <w:sz w:val="18"/>
                <w:szCs w:val="18"/>
              </w:rPr>
            </w:pPr>
            <w:r>
              <w:rPr>
                <w:color w:val="000000"/>
                <w:sz w:val="18"/>
                <w:szCs w:val="18"/>
              </w:rPr>
              <w:t>2.043.776</w:t>
            </w:r>
          </w:p>
        </w:tc>
        <w:tc>
          <w:tcPr>
            <w:tcW w:w="1473" w:type="dxa"/>
            <w:tcBorders>
              <w:top w:val="nil"/>
              <w:left w:val="nil"/>
              <w:bottom w:val="single" w:sz="4" w:space="0" w:color="auto"/>
              <w:right w:val="single" w:sz="4" w:space="0" w:color="auto"/>
            </w:tcBorders>
            <w:shd w:val="clear" w:color="auto" w:fill="auto"/>
            <w:vAlign w:val="center"/>
          </w:tcPr>
          <w:p w:rsidR="0067553E" w:rsidRDefault="0067553E" w:rsidP="004E56C4">
            <w:pPr>
              <w:jc w:val="right"/>
              <w:rPr>
                <w:color w:val="000000"/>
                <w:sz w:val="18"/>
                <w:szCs w:val="18"/>
              </w:rPr>
            </w:pPr>
            <w:r>
              <w:rPr>
                <w:color w:val="000000"/>
                <w:sz w:val="18"/>
                <w:szCs w:val="18"/>
              </w:rPr>
              <w:t>2.063.052</w:t>
            </w:r>
          </w:p>
        </w:tc>
        <w:tc>
          <w:tcPr>
            <w:tcW w:w="1418" w:type="dxa"/>
            <w:tcBorders>
              <w:top w:val="nil"/>
              <w:left w:val="nil"/>
              <w:bottom w:val="single" w:sz="4" w:space="0" w:color="auto"/>
              <w:right w:val="single" w:sz="4" w:space="0" w:color="auto"/>
            </w:tcBorders>
            <w:shd w:val="clear" w:color="auto" w:fill="auto"/>
            <w:vAlign w:val="center"/>
          </w:tcPr>
          <w:p w:rsidR="0067553E" w:rsidRDefault="0067553E">
            <w:pPr>
              <w:jc w:val="right"/>
              <w:rPr>
                <w:color w:val="000000"/>
                <w:sz w:val="18"/>
                <w:szCs w:val="18"/>
              </w:rPr>
            </w:pPr>
            <w:r>
              <w:rPr>
                <w:color w:val="000000"/>
                <w:sz w:val="18"/>
                <w:szCs w:val="18"/>
              </w:rPr>
              <w:t>2.978.423</w:t>
            </w:r>
          </w:p>
        </w:tc>
        <w:tc>
          <w:tcPr>
            <w:tcW w:w="1276" w:type="dxa"/>
            <w:tcBorders>
              <w:top w:val="nil"/>
              <w:left w:val="nil"/>
              <w:bottom w:val="single" w:sz="4" w:space="0" w:color="auto"/>
              <w:right w:val="single" w:sz="4" w:space="0" w:color="auto"/>
            </w:tcBorders>
            <w:shd w:val="clear" w:color="auto" w:fill="auto"/>
            <w:noWrap/>
            <w:vAlign w:val="bottom"/>
          </w:tcPr>
          <w:p w:rsidR="0067553E" w:rsidRDefault="0067553E">
            <w:pPr>
              <w:jc w:val="right"/>
              <w:rPr>
                <w:color w:val="000000"/>
                <w:sz w:val="18"/>
                <w:szCs w:val="18"/>
              </w:rPr>
            </w:pPr>
            <w:r>
              <w:rPr>
                <w:color w:val="000000"/>
                <w:sz w:val="18"/>
                <w:szCs w:val="18"/>
              </w:rPr>
              <w:t>915.371</w:t>
            </w:r>
          </w:p>
        </w:tc>
        <w:tc>
          <w:tcPr>
            <w:tcW w:w="1417" w:type="dxa"/>
            <w:tcBorders>
              <w:top w:val="nil"/>
              <w:left w:val="nil"/>
              <w:bottom w:val="single" w:sz="4" w:space="0" w:color="auto"/>
              <w:right w:val="single" w:sz="4" w:space="0" w:color="auto"/>
            </w:tcBorders>
            <w:shd w:val="clear" w:color="auto" w:fill="auto"/>
            <w:noWrap/>
            <w:vAlign w:val="bottom"/>
          </w:tcPr>
          <w:p w:rsidR="0067553E" w:rsidRDefault="0067553E">
            <w:pPr>
              <w:jc w:val="right"/>
              <w:rPr>
                <w:color w:val="000000"/>
                <w:sz w:val="18"/>
                <w:szCs w:val="18"/>
              </w:rPr>
            </w:pPr>
            <w:r>
              <w:rPr>
                <w:color w:val="000000"/>
                <w:sz w:val="18"/>
                <w:szCs w:val="18"/>
              </w:rPr>
              <w:t>44,37%</w:t>
            </w:r>
          </w:p>
        </w:tc>
      </w:tr>
      <w:tr w:rsidR="0067553E" w:rsidRPr="002949CB" w:rsidTr="00EB43F0">
        <w:trPr>
          <w:trHeight w:val="303"/>
        </w:trPr>
        <w:tc>
          <w:tcPr>
            <w:tcW w:w="1904" w:type="dxa"/>
            <w:tcBorders>
              <w:top w:val="nil"/>
              <w:left w:val="single" w:sz="4" w:space="0" w:color="auto"/>
              <w:bottom w:val="single" w:sz="4" w:space="0" w:color="auto"/>
              <w:right w:val="single" w:sz="4" w:space="0" w:color="auto"/>
            </w:tcBorders>
            <w:shd w:val="clear" w:color="000000" w:fill="B8CCE4"/>
            <w:noWrap/>
            <w:vAlign w:val="center"/>
            <w:hideMark/>
          </w:tcPr>
          <w:p w:rsidR="0067553E" w:rsidRPr="007C2BC4" w:rsidRDefault="0067553E" w:rsidP="002949CB">
            <w:pPr>
              <w:widowControl/>
              <w:autoSpaceDE/>
              <w:autoSpaceDN/>
              <w:rPr>
                <w:rFonts w:eastAsia="Times New Roman"/>
                <w:b/>
                <w:color w:val="000000"/>
                <w:sz w:val="18"/>
                <w:lang w:bidi="ar-SA"/>
              </w:rPr>
            </w:pPr>
            <w:r w:rsidRPr="007C2BC4">
              <w:rPr>
                <w:rFonts w:eastAsia="Times New Roman"/>
                <w:b/>
                <w:color w:val="000000"/>
                <w:sz w:val="18"/>
                <w:lang w:bidi="ar-SA"/>
              </w:rPr>
              <w:t>Indemnización vacaciones</w:t>
            </w:r>
          </w:p>
        </w:tc>
        <w:tc>
          <w:tcPr>
            <w:tcW w:w="1442" w:type="dxa"/>
            <w:tcBorders>
              <w:top w:val="nil"/>
              <w:left w:val="nil"/>
              <w:bottom w:val="single" w:sz="4" w:space="0" w:color="auto"/>
              <w:right w:val="single" w:sz="4" w:space="0" w:color="auto"/>
            </w:tcBorders>
            <w:shd w:val="clear" w:color="auto" w:fill="auto"/>
            <w:noWrap/>
            <w:vAlign w:val="center"/>
          </w:tcPr>
          <w:p w:rsidR="0067553E" w:rsidRDefault="0067553E" w:rsidP="003E21E0">
            <w:pPr>
              <w:jc w:val="right"/>
              <w:rPr>
                <w:color w:val="000000"/>
                <w:sz w:val="18"/>
                <w:szCs w:val="18"/>
              </w:rPr>
            </w:pPr>
            <w:r>
              <w:rPr>
                <w:color w:val="000000"/>
                <w:sz w:val="18"/>
                <w:szCs w:val="18"/>
              </w:rPr>
              <w:t>0</w:t>
            </w:r>
          </w:p>
        </w:tc>
        <w:tc>
          <w:tcPr>
            <w:tcW w:w="1473" w:type="dxa"/>
            <w:tcBorders>
              <w:top w:val="nil"/>
              <w:left w:val="nil"/>
              <w:bottom w:val="single" w:sz="4" w:space="0" w:color="auto"/>
              <w:right w:val="single" w:sz="4" w:space="0" w:color="auto"/>
            </w:tcBorders>
            <w:shd w:val="clear" w:color="auto" w:fill="auto"/>
            <w:noWrap/>
            <w:vAlign w:val="center"/>
          </w:tcPr>
          <w:p w:rsidR="0067553E" w:rsidRDefault="0067553E" w:rsidP="0060045F">
            <w:pPr>
              <w:jc w:val="right"/>
              <w:rPr>
                <w:color w:val="000000"/>
                <w:sz w:val="18"/>
                <w:szCs w:val="18"/>
              </w:rPr>
            </w:pPr>
            <w:r>
              <w:rPr>
                <w:color w:val="000000"/>
                <w:sz w:val="18"/>
                <w:szCs w:val="18"/>
              </w:rPr>
              <w:t>0</w:t>
            </w:r>
          </w:p>
        </w:tc>
        <w:tc>
          <w:tcPr>
            <w:tcW w:w="1418" w:type="dxa"/>
            <w:tcBorders>
              <w:top w:val="nil"/>
              <w:left w:val="nil"/>
              <w:bottom w:val="single" w:sz="4" w:space="0" w:color="auto"/>
              <w:right w:val="single" w:sz="4" w:space="0" w:color="auto"/>
            </w:tcBorders>
            <w:shd w:val="clear" w:color="auto" w:fill="auto"/>
            <w:noWrap/>
            <w:vAlign w:val="center"/>
          </w:tcPr>
          <w:p w:rsidR="0067553E" w:rsidRDefault="0067553E" w:rsidP="006F3F30">
            <w:pPr>
              <w:jc w:val="right"/>
              <w:rPr>
                <w:color w:val="000000"/>
                <w:sz w:val="18"/>
                <w:szCs w:val="18"/>
              </w:rPr>
            </w:pPr>
            <w:r>
              <w:rPr>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bottom"/>
          </w:tcPr>
          <w:p w:rsidR="0067553E" w:rsidRDefault="0067553E">
            <w:pPr>
              <w:jc w:val="right"/>
              <w:rPr>
                <w:color w:val="000000"/>
                <w:sz w:val="18"/>
                <w:szCs w:val="18"/>
              </w:rPr>
            </w:pPr>
            <w:r>
              <w:rPr>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bottom"/>
          </w:tcPr>
          <w:p w:rsidR="0067553E" w:rsidRDefault="0067553E">
            <w:pPr>
              <w:jc w:val="right"/>
              <w:rPr>
                <w:color w:val="000000"/>
                <w:sz w:val="18"/>
                <w:szCs w:val="18"/>
              </w:rPr>
            </w:pPr>
            <w:r>
              <w:rPr>
                <w:color w:val="000000"/>
                <w:sz w:val="18"/>
                <w:szCs w:val="18"/>
              </w:rPr>
              <w:t>0,00%</w:t>
            </w:r>
          </w:p>
        </w:tc>
      </w:tr>
    </w:tbl>
    <w:p w:rsidR="00D652D7" w:rsidRPr="00FE016C" w:rsidRDefault="00D652D7" w:rsidP="00D71BFF">
      <w:pPr>
        <w:pStyle w:val="Ttulo1"/>
        <w:tabs>
          <w:tab w:val="left" w:pos="586"/>
          <w:tab w:val="left" w:pos="1276"/>
        </w:tabs>
        <w:spacing w:line="276" w:lineRule="auto"/>
        <w:ind w:left="0" w:right="505"/>
        <w:jc w:val="center"/>
        <w:rPr>
          <w:sz w:val="20"/>
        </w:rPr>
      </w:pPr>
      <w:r w:rsidRPr="00966CAB">
        <w:rPr>
          <w:sz w:val="18"/>
        </w:rPr>
        <w:t xml:space="preserve">Fuente: </w:t>
      </w:r>
      <w:r>
        <w:rPr>
          <w:sz w:val="18"/>
        </w:rPr>
        <w:t>Ejecución presupuestal</w:t>
      </w:r>
      <w:r w:rsidRPr="00966CAB">
        <w:rPr>
          <w:sz w:val="18"/>
        </w:rPr>
        <w:t xml:space="preserve"> - Subgerencia </w:t>
      </w:r>
      <w:r>
        <w:rPr>
          <w:sz w:val="18"/>
        </w:rPr>
        <w:t>Financiera</w:t>
      </w:r>
    </w:p>
    <w:p w:rsidR="001034E9" w:rsidRDefault="001034E9" w:rsidP="00D42B19">
      <w:pPr>
        <w:adjustRightInd w:val="0"/>
        <w:jc w:val="both"/>
        <w:rPr>
          <w:rFonts w:eastAsia="Calibri"/>
          <w:highlight w:val="yellow"/>
        </w:rPr>
      </w:pPr>
    </w:p>
    <w:p w:rsidR="001C6360" w:rsidRPr="00876D8B" w:rsidRDefault="00D42B19" w:rsidP="001C6360">
      <w:pPr>
        <w:adjustRightInd w:val="0"/>
        <w:ind w:left="284"/>
        <w:jc w:val="both"/>
        <w:rPr>
          <w:rFonts w:eastAsia="Calibri"/>
          <w:color w:val="000000" w:themeColor="text1"/>
        </w:rPr>
      </w:pPr>
      <w:r w:rsidRPr="00876D8B">
        <w:rPr>
          <w:rFonts w:eastAsia="Calibri"/>
          <w:color w:val="000000" w:themeColor="text1"/>
        </w:rPr>
        <w:t>Del cua</w:t>
      </w:r>
      <w:r w:rsidR="007C2001">
        <w:rPr>
          <w:rFonts w:eastAsia="Calibri"/>
          <w:color w:val="000000" w:themeColor="text1"/>
        </w:rPr>
        <w:t xml:space="preserve">dro anterior, se observa </w:t>
      </w:r>
      <w:r w:rsidRPr="00876D8B">
        <w:rPr>
          <w:rFonts w:eastAsia="Calibri"/>
          <w:color w:val="000000" w:themeColor="text1"/>
        </w:rPr>
        <w:t>variaci</w:t>
      </w:r>
      <w:r w:rsidR="002E62B6">
        <w:rPr>
          <w:rFonts w:eastAsia="Calibri"/>
          <w:color w:val="000000" w:themeColor="text1"/>
        </w:rPr>
        <w:t>ó</w:t>
      </w:r>
      <w:r w:rsidRPr="00876D8B">
        <w:rPr>
          <w:rFonts w:eastAsia="Calibri"/>
          <w:color w:val="000000" w:themeColor="text1"/>
        </w:rPr>
        <w:t xml:space="preserve">n en </w:t>
      </w:r>
      <w:r w:rsidR="002E62B6">
        <w:rPr>
          <w:rFonts w:eastAsia="Calibri"/>
          <w:color w:val="000000" w:themeColor="text1"/>
        </w:rPr>
        <w:t>el</w:t>
      </w:r>
      <w:r w:rsidRPr="00876D8B">
        <w:rPr>
          <w:rFonts w:eastAsia="Calibri"/>
          <w:color w:val="000000" w:themeColor="text1"/>
        </w:rPr>
        <w:t xml:space="preserve"> concepto</w:t>
      </w:r>
      <w:r w:rsidR="002E62B6">
        <w:rPr>
          <w:rFonts w:eastAsia="Calibri"/>
          <w:color w:val="000000" w:themeColor="text1"/>
        </w:rPr>
        <w:t xml:space="preserve"> de</w:t>
      </w:r>
      <w:r w:rsidR="002E62B6" w:rsidRPr="00876D8B">
        <w:rPr>
          <w:rFonts w:eastAsia="Calibri"/>
          <w:color w:val="000000" w:themeColor="text1"/>
        </w:rPr>
        <w:t xml:space="preserve"> sueldos de personal</w:t>
      </w:r>
      <w:r w:rsidR="002E62B6">
        <w:rPr>
          <w:rFonts w:eastAsia="Calibri"/>
          <w:color w:val="000000" w:themeColor="text1"/>
        </w:rPr>
        <w:t xml:space="preserve">, </w:t>
      </w:r>
      <w:r w:rsidR="00007D58">
        <w:rPr>
          <w:rFonts w:eastAsia="Calibri"/>
          <w:color w:val="000000" w:themeColor="text1"/>
        </w:rPr>
        <w:t>con un</w:t>
      </w:r>
      <w:r w:rsidR="002E62B6" w:rsidRPr="00876D8B">
        <w:rPr>
          <w:color w:val="000000" w:themeColor="text1"/>
        </w:rPr>
        <w:t xml:space="preserve"> </w:t>
      </w:r>
      <w:r w:rsidR="002E62B6" w:rsidRPr="00876D8B">
        <w:rPr>
          <w:color w:val="000000" w:themeColor="text1"/>
        </w:rPr>
        <w:lastRenderedPageBreak/>
        <w:t>incremento</w:t>
      </w:r>
      <w:r w:rsidR="007C2001">
        <w:rPr>
          <w:color w:val="000000" w:themeColor="text1"/>
        </w:rPr>
        <w:t xml:space="preserve"> del </w:t>
      </w:r>
      <w:r w:rsidR="007C2001" w:rsidRPr="00D613CD">
        <w:rPr>
          <w:color w:val="000000" w:themeColor="text1"/>
        </w:rPr>
        <w:t>1,</w:t>
      </w:r>
      <w:r w:rsidR="00D613CD" w:rsidRPr="00D613CD">
        <w:rPr>
          <w:color w:val="000000" w:themeColor="text1"/>
        </w:rPr>
        <w:t>86</w:t>
      </w:r>
      <w:r w:rsidR="00007D58" w:rsidRPr="00D613CD">
        <w:rPr>
          <w:color w:val="000000" w:themeColor="text1"/>
        </w:rPr>
        <w:t>%</w:t>
      </w:r>
      <w:r w:rsidR="00007D58">
        <w:rPr>
          <w:color w:val="000000" w:themeColor="text1"/>
        </w:rPr>
        <w:t xml:space="preserve"> comparado con el mismo periodo de la vigencia anterior</w:t>
      </w:r>
      <w:r w:rsidR="006576A0">
        <w:rPr>
          <w:color w:val="000000" w:themeColor="text1"/>
        </w:rPr>
        <w:t>,</w:t>
      </w:r>
      <w:r w:rsidR="00C31CB5">
        <w:rPr>
          <w:color w:val="000000" w:themeColor="text1"/>
        </w:rPr>
        <w:t xml:space="preserve"> </w:t>
      </w:r>
      <w:r w:rsidR="006576A0">
        <w:rPr>
          <w:color w:val="000000" w:themeColor="text1"/>
        </w:rPr>
        <w:t>e</w:t>
      </w:r>
      <w:r w:rsidR="00C31CB5">
        <w:rPr>
          <w:color w:val="000000" w:themeColor="text1"/>
        </w:rPr>
        <w:t xml:space="preserve">l concepto de </w:t>
      </w:r>
      <w:r w:rsidRPr="00876D8B">
        <w:rPr>
          <w:rFonts w:eastAsia="Calibri"/>
          <w:color w:val="000000" w:themeColor="text1"/>
        </w:rPr>
        <w:t>Horas Extras</w:t>
      </w:r>
      <w:r w:rsidR="005A0CA1">
        <w:rPr>
          <w:rFonts w:eastAsia="Calibri"/>
          <w:color w:val="000000" w:themeColor="text1"/>
        </w:rPr>
        <w:t xml:space="preserve"> muestra un</w:t>
      </w:r>
      <w:r w:rsidR="00C31CB5">
        <w:rPr>
          <w:rFonts w:eastAsia="Calibri"/>
          <w:color w:val="000000" w:themeColor="text1"/>
        </w:rPr>
        <w:t xml:space="preserve"> </w:t>
      </w:r>
      <w:r w:rsidR="005A0CA1">
        <w:rPr>
          <w:rFonts w:eastAsia="Calibri"/>
          <w:color w:val="000000" w:themeColor="text1"/>
        </w:rPr>
        <w:t>incremento</w:t>
      </w:r>
      <w:r w:rsidR="00C31CB5">
        <w:rPr>
          <w:rFonts w:eastAsia="Calibri"/>
          <w:color w:val="000000" w:themeColor="text1"/>
        </w:rPr>
        <w:t xml:space="preserve"> </w:t>
      </w:r>
      <w:r w:rsidR="006E3C04">
        <w:rPr>
          <w:rFonts w:eastAsia="Calibri"/>
          <w:color w:val="000000" w:themeColor="text1"/>
        </w:rPr>
        <w:t xml:space="preserve">del </w:t>
      </w:r>
      <w:r w:rsidR="005A0CA1">
        <w:rPr>
          <w:rFonts w:eastAsia="Calibri"/>
          <w:color w:val="000000" w:themeColor="text1"/>
        </w:rPr>
        <w:t>44</w:t>
      </w:r>
      <w:r w:rsidR="006E3C04">
        <w:rPr>
          <w:rFonts w:eastAsia="Calibri"/>
          <w:color w:val="000000" w:themeColor="text1"/>
        </w:rPr>
        <w:t>,</w:t>
      </w:r>
      <w:r w:rsidR="005A0CA1">
        <w:rPr>
          <w:rFonts w:eastAsia="Calibri"/>
          <w:color w:val="000000" w:themeColor="text1"/>
        </w:rPr>
        <w:t>37</w:t>
      </w:r>
      <w:r w:rsidR="006576A0">
        <w:rPr>
          <w:rFonts w:eastAsia="Calibri"/>
          <w:color w:val="000000" w:themeColor="text1"/>
        </w:rPr>
        <w:t xml:space="preserve">% </w:t>
      </w:r>
      <w:r w:rsidR="00007D58">
        <w:rPr>
          <w:rFonts w:eastAsia="Calibri"/>
          <w:color w:val="000000" w:themeColor="text1"/>
        </w:rPr>
        <w:t>frente al</w:t>
      </w:r>
      <w:r w:rsidR="006576A0">
        <w:rPr>
          <w:rFonts w:eastAsia="Calibri"/>
          <w:color w:val="000000" w:themeColor="text1"/>
        </w:rPr>
        <w:t xml:space="preserve"> mismo periodo de la vigencia anterior </w:t>
      </w:r>
      <w:r w:rsidR="002949CB" w:rsidRPr="00876D8B">
        <w:rPr>
          <w:rFonts w:eastAsia="Calibri"/>
          <w:color w:val="000000" w:themeColor="text1"/>
        </w:rPr>
        <w:t>(ver punto 5.3)</w:t>
      </w:r>
      <w:r w:rsidR="00B76ED9">
        <w:rPr>
          <w:rFonts w:eastAsia="Calibri"/>
          <w:color w:val="000000" w:themeColor="text1"/>
        </w:rPr>
        <w:t>;</w:t>
      </w:r>
      <w:r w:rsidR="006576A0">
        <w:rPr>
          <w:rFonts w:eastAsia="Calibri"/>
          <w:color w:val="000000" w:themeColor="text1"/>
        </w:rPr>
        <w:t xml:space="preserve"> en cuanto al concepto de</w:t>
      </w:r>
      <w:r w:rsidRPr="00876D8B">
        <w:rPr>
          <w:rFonts w:eastAsia="Calibri"/>
          <w:color w:val="000000" w:themeColor="text1"/>
        </w:rPr>
        <w:t xml:space="preserve"> </w:t>
      </w:r>
      <w:r w:rsidR="00C31CB5" w:rsidRPr="00876D8B">
        <w:rPr>
          <w:rFonts w:eastAsia="Calibri"/>
          <w:color w:val="000000" w:themeColor="text1"/>
        </w:rPr>
        <w:t xml:space="preserve">Indemnización de vacaciones </w:t>
      </w:r>
      <w:r w:rsidR="006E3C04">
        <w:rPr>
          <w:rFonts w:eastAsia="Calibri"/>
          <w:color w:val="000000" w:themeColor="text1"/>
        </w:rPr>
        <w:t xml:space="preserve">para el periodo de análisis </w:t>
      </w:r>
      <w:r w:rsidR="005A0CA1">
        <w:rPr>
          <w:rFonts w:eastAsia="Calibri"/>
          <w:color w:val="000000" w:themeColor="text1"/>
        </w:rPr>
        <w:t>no se realizaron</w:t>
      </w:r>
      <w:r w:rsidR="006E3C04">
        <w:rPr>
          <w:rFonts w:eastAsia="Calibri"/>
          <w:color w:val="000000" w:themeColor="text1"/>
        </w:rPr>
        <w:t xml:space="preserve"> pago</w:t>
      </w:r>
      <w:r w:rsidR="005A0CA1">
        <w:rPr>
          <w:rFonts w:eastAsia="Calibri"/>
          <w:color w:val="000000" w:themeColor="text1"/>
        </w:rPr>
        <w:t>s</w:t>
      </w:r>
      <w:r w:rsidR="006E3C04">
        <w:rPr>
          <w:rFonts w:eastAsia="Calibri"/>
          <w:color w:val="000000" w:themeColor="text1"/>
        </w:rPr>
        <w:t>.</w:t>
      </w:r>
    </w:p>
    <w:p w:rsidR="00D42B19" w:rsidRDefault="00D42B19" w:rsidP="00632028">
      <w:pPr>
        <w:adjustRightInd w:val="0"/>
        <w:ind w:left="284"/>
        <w:jc w:val="both"/>
        <w:rPr>
          <w:rFonts w:eastAsia="Calibri"/>
        </w:rPr>
      </w:pPr>
      <w:r w:rsidRPr="00B92FB3">
        <w:rPr>
          <w:rFonts w:eastAsia="Calibri"/>
        </w:rPr>
        <w:t xml:space="preserve"> </w:t>
      </w:r>
    </w:p>
    <w:p w:rsidR="007C7F95" w:rsidRPr="007C7F95" w:rsidRDefault="007C7F95" w:rsidP="00632028">
      <w:pPr>
        <w:widowControl/>
        <w:adjustRightInd w:val="0"/>
        <w:spacing w:after="200"/>
        <w:ind w:left="284"/>
        <w:jc w:val="both"/>
        <w:rPr>
          <w:rFonts w:eastAsia="Calibri"/>
          <w:b/>
        </w:rPr>
      </w:pPr>
      <w:r w:rsidRPr="007C7F95">
        <w:rPr>
          <w:b/>
        </w:rPr>
        <w:t xml:space="preserve">5.3 </w:t>
      </w:r>
      <w:r w:rsidRPr="007C7F95">
        <w:rPr>
          <w:rFonts w:eastAsia="Calibri"/>
          <w:b/>
        </w:rPr>
        <w:t xml:space="preserve">Horas extras  </w:t>
      </w:r>
    </w:p>
    <w:p w:rsidR="007C7F95" w:rsidRDefault="007C7F95" w:rsidP="00632028">
      <w:pPr>
        <w:adjustRightInd w:val="0"/>
        <w:ind w:left="284"/>
        <w:jc w:val="both"/>
        <w:rPr>
          <w:rFonts w:eastAsia="Calibri"/>
        </w:rPr>
      </w:pPr>
      <w:r w:rsidRPr="007C7F95">
        <w:rPr>
          <w:rFonts w:eastAsia="Calibri"/>
        </w:rPr>
        <w:t>El gasto por este concepto corresponde al tiempo extra laborado</w:t>
      </w:r>
      <w:r>
        <w:rPr>
          <w:rFonts w:eastAsia="Calibri"/>
        </w:rPr>
        <w:t xml:space="preserve"> por los funcionarios en atención a la realización de los sorteos del día viernes de cada semana</w:t>
      </w:r>
      <w:r w:rsidRPr="007C7F95">
        <w:rPr>
          <w:rFonts w:eastAsia="Calibri"/>
        </w:rPr>
        <w:t>. A continuación, se reporta la variación presentada en el periodo evaluado:</w:t>
      </w:r>
    </w:p>
    <w:p w:rsidR="004F00E5" w:rsidRDefault="004F00E5" w:rsidP="00632028">
      <w:pPr>
        <w:adjustRightInd w:val="0"/>
        <w:ind w:left="284"/>
        <w:jc w:val="both"/>
        <w:rPr>
          <w:rFonts w:eastAsia="Calibri"/>
        </w:rPr>
      </w:pPr>
    </w:p>
    <w:tbl>
      <w:tblPr>
        <w:tblW w:w="9072" w:type="dxa"/>
        <w:tblInd w:w="354" w:type="dxa"/>
        <w:tblCellMar>
          <w:left w:w="70" w:type="dxa"/>
          <w:right w:w="70" w:type="dxa"/>
        </w:tblCellMar>
        <w:tblLook w:val="04A0" w:firstRow="1" w:lastRow="0" w:firstColumn="1" w:lastColumn="0" w:noHBand="0" w:noVBand="1"/>
      </w:tblPr>
      <w:tblGrid>
        <w:gridCol w:w="1417"/>
        <w:gridCol w:w="1560"/>
        <w:gridCol w:w="1559"/>
        <w:gridCol w:w="1559"/>
        <w:gridCol w:w="1418"/>
        <w:gridCol w:w="1559"/>
      </w:tblGrid>
      <w:tr w:rsidR="0068722F" w:rsidRPr="004F00E5" w:rsidTr="004F00E5">
        <w:trPr>
          <w:trHeight w:val="495"/>
        </w:trPr>
        <w:tc>
          <w:tcPr>
            <w:tcW w:w="1417"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68722F" w:rsidRPr="004F00E5" w:rsidRDefault="0068722F" w:rsidP="004F00E5">
            <w:pPr>
              <w:widowControl/>
              <w:autoSpaceDE/>
              <w:autoSpaceDN/>
              <w:jc w:val="center"/>
              <w:rPr>
                <w:rFonts w:eastAsia="Times New Roman"/>
                <w:b/>
                <w:bCs/>
                <w:color w:val="000000"/>
                <w:sz w:val="18"/>
                <w:szCs w:val="18"/>
                <w:lang w:bidi="ar-SA"/>
              </w:rPr>
            </w:pPr>
            <w:r w:rsidRPr="004F00E5">
              <w:rPr>
                <w:rFonts w:eastAsia="Times New Roman"/>
                <w:b/>
                <w:bCs/>
                <w:color w:val="000000"/>
                <w:sz w:val="18"/>
                <w:szCs w:val="18"/>
                <w:lang w:bidi="ar-SA"/>
              </w:rPr>
              <w:t>Concepto</w:t>
            </w:r>
          </w:p>
        </w:tc>
        <w:tc>
          <w:tcPr>
            <w:tcW w:w="1560" w:type="dxa"/>
            <w:tcBorders>
              <w:top w:val="single" w:sz="8" w:space="0" w:color="auto"/>
              <w:left w:val="nil"/>
              <w:bottom w:val="single" w:sz="8" w:space="0" w:color="auto"/>
              <w:right w:val="single" w:sz="8" w:space="0" w:color="auto"/>
            </w:tcBorders>
            <w:shd w:val="clear" w:color="000000" w:fill="B8CCE4"/>
            <w:vAlign w:val="center"/>
            <w:hideMark/>
          </w:tcPr>
          <w:p w:rsidR="0068722F" w:rsidRDefault="0068722F">
            <w:pPr>
              <w:jc w:val="center"/>
              <w:rPr>
                <w:b/>
                <w:bCs/>
                <w:color w:val="000000"/>
                <w:sz w:val="18"/>
                <w:szCs w:val="18"/>
              </w:rPr>
            </w:pPr>
            <w:r>
              <w:rPr>
                <w:b/>
                <w:bCs/>
                <w:color w:val="000000"/>
                <w:sz w:val="18"/>
                <w:szCs w:val="18"/>
              </w:rPr>
              <w:t>Segundo trimestre 2017</w:t>
            </w:r>
          </w:p>
        </w:tc>
        <w:tc>
          <w:tcPr>
            <w:tcW w:w="1559" w:type="dxa"/>
            <w:tcBorders>
              <w:top w:val="single" w:sz="8" w:space="0" w:color="auto"/>
              <w:left w:val="nil"/>
              <w:bottom w:val="single" w:sz="8" w:space="0" w:color="auto"/>
              <w:right w:val="single" w:sz="8" w:space="0" w:color="auto"/>
            </w:tcBorders>
            <w:shd w:val="clear" w:color="000000" w:fill="B8CCE4"/>
            <w:vAlign w:val="center"/>
            <w:hideMark/>
          </w:tcPr>
          <w:p w:rsidR="0068722F" w:rsidRDefault="0068722F">
            <w:pPr>
              <w:jc w:val="center"/>
              <w:rPr>
                <w:b/>
                <w:bCs/>
                <w:color w:val="000000"/>
                <w:sz w:val="18"/>
                <w:szCs w:val="18"/>
              </w:rPr>
            </w:pPr>
            <w:r>
              <w:rPr>
                <w:b/>
                <w:bCs/>
                <w:color w:val="000000"/>
                <w:sz w:val="18"/>
                <w:szCs w:val="18"/>
              </w:rPr>
              <w:t>Segundo trimestre 2018</w:t>
            </w:r>
          </w:p>
        </w:tc>
        <w:tc>
          <w:tcPr>
            <w:tcW w:w="1559" w:type="dxa"/>
            <w:tcBorders>
              <w:top w:val="single" w:sz="8" w:space="0" w:color="auto"/>
              <w:left w:val="nil"/>
              <w:bottom w:val="single" w:sz="8" w:space="0" w:color="auto"/>
              <w:right w:val="single" w:sz="8" w:space="0" w:color="auto"/>
            </w:tcBorders>
            <w:shd w:val="clear" w:color="000000" w:fill="B8CCE4"/>
            <w:vAlign w:val="center"/>
            <w:hideMark/>
          </w:tcPr>
          <w:p w:rsidR="0068722F" w:rsidRDefault="0068722F">
            <w:pPr>
              <w:jc w:val="center"/>
              <w:rPr>
                <w:b/>
                <w:bCs/>
                <w:color w:val="000000"/>
                <w:sz w:val="18"/>
                <w:szCs w:val="18"/>
              </w:rPr>
            </w:pPr>
            <w:r>
              <w:rPr>
                <w:b/>
                <w:bCs/>
                <w:color w:val="000000"/>
                <w:sz w:val="18"/>
                <w:szCs w:val="18"/>
              </w:rPr>
              <w:t>Segundo trimestre 2019</w:t>
            </w:r>
          </w:p>
        </w:tc>
        <w:tc>
          <w:tcPr>
            <w:tcW w:w="1418" w:type="dxa"/>
            <w:vMerge w:val="restart"/>
            <w:tcBorders>
              <w:top w:val="single" w:sz="8" w:space="0" w:color="auto"/>
              <w:left w:val="single" w:sz="8" w:space="0" w:color="auto"/>
              <w:bottom w:val="single" w:sz="8" w:space="0" w:color="000000"/>
              <w:right w:val="nil"/>
            </w:tcBorders>
            <w:shd w:val="clear" w:color="000000" w:fill="B8CCE4"/>
            <w:vAlign w:val="center"/>
            <w:hideMark/>
          </w:tcPr>
          <w:p w:rsidR="0068722F" w:rsidRPr="004F00E5" w:rsidRDefault="0068722F" w:rsidP="004F00E5">
            <w:pPr>
              <w:widowControl/>
              <w:autoSpaceDE/>
              <w:autoSpaceDN/>
              <w:jc w:val="center"/>
              <w:rPr>
                <w:rFonts w:eastAsia="Times New Roman"/>
                <w:b/>
                <w:bCs/>
                <w:color w:val="000000"/>
                <w:sz w:val="18"/>
                <w:szCs w:val="18"/>
                <w:lang w:bidi="ar-SA"/>
              </w:rPr>
            </w:pPr>
            <w:r w:rsidRPr="004F00E5">
              <w:rPr>
                <w:rFonts w:eastAsia="Times New Roman"/>
                <w:b/>
                <w:bCs/>
                <w:color w:val="000000"/>
                <w:sz w:val="18"/>
                <w:szCs w:val="18"/>
                <w:lang w:bidi="ar-SA"/>
              </w:rPr>
              <w:t xml:space="preserve">Variación </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68722F" w:rsidRPr="004F00E5" w:rsidRDefault="0068722F" w:rsidP="004F00E5">
            <w:pPr>
              <w:widowControl/>
              <w:autoSpaceDE/>
              <w:autoSpaceDN/>
              <w:jc w:val="center"/>
              <w:rPr>
                <w:rFonts w:eastAsia="Times New Roman"/>
                <w:b/>
                <w:bCs/>
                <w:color w:val="000000"/>
                <w:sz w:val="18"/>
                <w:szCs w:val="18"/>
                <w:lang w:bidi="ar-SA"/>
              </w:rPr>
            </w:pPr>
            <w:r w:rsidRPr="004F00E5">
              <w:rPr>
                <w:rFonts w:eastAsia="Times New Roman"/>
                <w:b/>
                <w:bCs/>
                <w:color w:val="000000"/>
                <w:sz w:val="18"/>
                <w:szCs w:val="18"/>
                <w:lang w:bidi="ar-SA"/>
              </w:rPr>
              <w:t>Variación porcentual</w:t>
            </w:r>
          </w:p>
        </w:tc>
      </w:tr>
      <w:tr w:rsidR="004F00E5" w:rsidRPr="004F00E5" w:rsidTr="004F00E5">
        <w:trPr>
          <w:trHeight w:val="315"/>
        </w:trPr>
        <w:tc>
          <w:tcPr>
            <w:tcW w:w="1417" w:type="dxa"/>
            <w:vMerge/>
            <w:tcBorders>
              <w:top w:val="single" w:sz="8" w:space="0" w:color="auto"/>
              <w:left w:val="single" w:sz="8" w:space="0" w:color="auto"/>
              <w:bottom w:val="single" w:sz="8" w:space="0" w:color="000000"/>
              <w:right w:val="single" w:sz="8" w:space="0" w:color="auto"/>
            </w:tcBorders>
            <w:vAlign w:val="center"/>
            <w:hideMark/>
          </w:tcPr>
          <w:p w:rsidR="004F00E5" w:rsidRPr="004F00E5" w:rsidRDefault="004F00E5" w:rsidP="004F00E5">
            <w:pPr>
              <w:widowControl/>
              <w:autoSpaceDE/>
              <w:autoSpaceDN/>
              <w:rPr>
                <w:rFonts w:eastAsia="Times New Roman"/>
                <w:b/>
                <w:bCs/>
                <w:color w:val="000000"/>
                <w:sz w:val="18"/>
                <w:szCs w:val="18"/>
                <w:lang w:bidi="ar-SA"/>
              </w:rPr>
            </w:pPr>
          </w:p>
        </w:tc>
        <w:tc>
          <w:tcPr>
            <w:tcW w:w="1560" w:type="dxa"/>
            <w:tcBorders>
              <w:top w:val="nil"/>
              <w:left w:val="nil"/>
              <w:bottom w:val="single" w:sz="8" w:space="0" w:color="auto"/>
              <w:right w:val="single" w:sz="8" w:space="0" w:color="auto"/>
            </w:tcBorders>
            <w:shd w:val="clear" w:color="000000" w:fill="B8CCE4"/>
            <w:vAlign w:val="center"/>
            <w:hideMark/>
          </w:tcPr>
          <w:p w:rsidR="004F00E5" w:rsidRPr="004F00E5" w:rsidRDefault="004F00E5" w:rsidP="004F00E5">
            <w:pPr>
              <w:widowControl/>
              <w:autoSpaceDE/>
              <w:autoSpaceDN/>
              <w:jc w:val="center"/>
              <w:rPr>
                <w:rFonts w:eastAsia="Times New Roman"/>
                <w:b/>
                <w:bCs/>
                <w:color w:val="000000"/>
                <w:sz w:val="18"/>
                <w:szCs w:val="18"/>
                <w:lang w:bidi="ar-SA"/>
              </w:rPr>
            </w:pPr>
            <w:r w:rsidRPr="004F00E5">
              <w:rPr>
                <w:rFonts w:eastAsia="Times New Roman"/>
                <w:b/>
                <w:bCs/>
                <w:color w:val="000000"/>
                <w:sz w:val="18"/>
                <w:szCs w:val="18"/>
                <w:lang w:bidi="ar-SA"/>
              </w:rPr>
              <w:t>Valor</w:t>
            </w:r>
          </w:p>
        </w:tc>
        <w:tc>
          <w:tcPr>
            <w:tcW w:w="1559" w:type="dxa"/>
            <w:tcBorders>
              <w:top w:val="nil"/>
              <w:left w:val="nil"/>
              <w:bottom w:val="single" w:sz="8" w:space="0" w:color="auto"/>
              <w:right w:val="single" w:sz="8" w:space="0" w:color="auto"/>
            </w:tcBorders>
            <w:shd w:val="clear" w:color="000000" w:fill="B8CCE4"/>
            <w:vAlign w:val="center"/>
            <w:hideMark/>
          </w:tcPr>
          <w:p w:rsidR="004F00E5" w:rsidRPr="004F00E5" w:rsidRDefault="004F00E5" w:rsidP="004F00E5">
            <w:pPr>
              <w:widowControl/>
              <w:autoSpaceDE/>
              <w:autoSpaceDN/>
              <w:jc w:val="center"/>
              <w:rPr>
                <w:rFonts w:eastAsia="Times New Roman"/>
                <w:b/>
                <w:bCs/>
                <w:color w:val="000000"/>
                <w:sz w:val="18"/>
                <w:szCs w:val="18"/>
                <w:lang w:bidi="ar-SA"/>
              </w:rPr>
            </w:pPr>
            <w:r w:rsidRPr="004F00E5">
              <w:rPr>
                <w:rFonts w:eastAsia="Times New Roman"/>
                <w:b/>
                <w:bCs/>
                <w:color w:val="000000"/>
                <w:sz w:val="18"/>
                <w:szCs w:val="18"/>
                <w:lang w:bidi="ar-SA"/>
              </w:rPr>
              <w:t>Valor</w:t>
            </w:r>
          </w:p>
        </w:tc>
        <w:tc>
          <w:tcPr>
            <w:tcW w:w="1559" w:type="dxa"/>
            <w:tcBorders>
              <w:top w:val="nil"/>
              <w:left w:val="nil"/>
              <w:bottom w:val="single" w:sz="8" w:space="0" w:color="auto"/>
              <w:right w:val="single" w:sz="8" w:space="0" w:color="auto"/>
            </w:tcBorders>
            <w:shd w:val="clear" w:color="000000" w:fill="B8CCE4"/>
            <w:vAlign w:val="center"/>
            <w:hideMark/>
          </w:tcPr>
          <w:p w:rsidR="004F00E5" w:rsidRPr="004F00E5" w:rsidRDefault="004F00E5" w:rsidP="004F00E5">
            <w:pPr>
              <w:widowControl/>
              <w:autoSpaceDE/>
              <w:autoSpaceDN/>
              <w:jc w:val="center"/>
              <w:rPr>
                <w:rFonts w:eastAsia="Times New Roman"/>
                <w:b/>
                <w:bCs/>
                <w:color w:val="000000"/>
                <w:sz w:val="18"/>
                <w:szCs w:val="18"/>
                <w:lang w:bidi="ar-SA"/>
              </w:rPr>
            </w:pPr>
            <w:r w:rsidRPr="004F00E5">
              <w:rPr>
                <w:rFonts w:eastAsia="Times New Roman"/>
                <w:b/>
                <w:bCs/>
                <w:color w:val="000000"/>
                <w:sz w:val="18"/>
                <w:szCs w:val="18"/>
                <w:lang w:bidi="ar-SA"/>
              </w:rPr>
              <w:t>Valor</w:t>
            </w:r>
          </w:p>
        </w:tc>
        <w:tc>
          <w:tcPr>
            <w:tcW w:w="1418" w:type="dxa"/>
            <w:vMerge/>
            <w:tcBorders>
              <w:top w:val="single" w:sz="8" w:space="0" w:color="auto"/>
              <w:left w:val="single" w:sz="8" w:space="0" w:color="auto"/>
              <w:bottom w:val="single" w:sz="8" w:space="0" w:color="000000"/>
              <w:right w:val="nil"/>
            </w:tcBorders>
            <w:vAlign w:val="center"/>
            <w:hideMark/>
          </w:tcPr>
          <w:p w:rsidR="004F00E5" w:rsidRPr="004F00E5" w:rsidRDefault="004F00E5" w:rsidP="004F00E5">
            <w:pPr>
              <w:widowControl/>
              <w:autoSpaceDE/>
              <w:autoSpaceDN/>
              <w:rPr>
                <w:rFonts w:eastAsia="Times New Roman"/>
                <w:b/>
                <w:bCs/>
                <w:color w:val="000000"/>
                <w:sz w:val="18"/>
                <w:szCs w:val="18"/>
                <w:lang w:bidi="ar-SA"/>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F00E5" w:rsidRPr="004F00E5" w:rsidRDefault="004F00E5" w:rsidP="004F00E5">
            <w:pPr>
              <w:widowControl/>
              <w:autoSpaceDE/>
              <w:autoSpaceDN/>
              <w:rPr>
                <w:rFonts w:eastAsia="Times New Roman"/>
                <w:b/>
                <w:bCs/>
                <w:color w:val="000000"/>
                <w:sz w:val="18"/>
                <w:szCs w:val="18"/>
                <w:lang w:bidi="ar-SA"/>
              </w:rPr>
            </w:pPr>
          </w:p>
        </w:tc>
      </w:tr>
      <w:tr w:rsidR="0068722F" w:rsidRPr="004F00E5" w:rsidTr="0068722F">
        <w:trPr>
          <w:trHeight w:val="315"/>
        </w:trPr>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68722F" w:rsidRPr="004F00E5" w:rsidRDefault="0068722F" w:rsidP="004F00E5">
            <w:pPr>
              <w:widowControl/>
              <w:autoSpaceDE/>
              <w:autoSpaceDN/>
              <w:jc w:val="center"/>
              <w:rPr>
                <w:rFonts w:eastAsia="Times New Roman"/>
                <w:color w:val="000000"/>
                <w:sz w:val="18"/>
                <w:szCs w:val="18"/>
                <w:lang w:bidi="ar-SA"/>
              </w:rPr>
            </w:pPr>
            <w:r w:rsidRPr="004F00E5">
              <w:rPr>
                <w:rFonts w:eastAsia="Times New Roman"/>
                <w:color w:val="000000"/>
                <w:sz w:val="18"/>
                <w:szCs w:val="18"/>
                <w:lang w:bidi="ar-SA"/>
              </w:rPr>
              <w:t>Horas extras</w:t>
            </w:r>
          </w:p>
        </w:tc>
        <w:tc>
          <w:tcPr>
            <w:tcW w:w="1560" w:type="dxa"/>
            <w:tcBorders>
              <w:top w:val="nil"/>
              <w:left w:val="nil"/>
              <w:bottom w:val="single" w:sz="8" w:space="0" w:color="auto"/>
              <w:right w:val="single" w:sz="8" w:space="0" w:color="auto"/>
            </w:tcBorders>
            <w:shd w:val="clear" w:color="auto" w:fill="auto"/>
            <w:vAlign w:val="center"/>
            <w:hideMark/>
          </w:tcPr>
          <w:p w:rsidR="0068722F" w:rsidRDefault="0068722F" w:rsidP="0068722F">
            <w:pPr>
              <w:jc w:val="center"/>
              <w:rPr>
                <w:color w:val="000000"/>
                <w:sz w:val="18"/>
                <w:szCs w:val="18"/>
              </w:rPr>
            </w:pPr>
            <w:r>
              <w:rPr>
                <w:color w:val="000000"/>
                <w:sz w:val="18"/>
                <w:szCs w:val="18"/>
              </w:rPr>
              <w:t>2.043.776</w:t>
            </w:r>
          </w:p>
        </w:tc>
        <w:tc>
          <w:tcPr>
            <w:tcW w:w="1559" w:type="dxa"/>
            <w:tcBorders>
              <w:top w:val="nil"/>
              <w:left w:val="nil"/>
              <w:bottom w:val="single" w:sz="8" w:space="0" w:color="auto"/>
              <w:right w:val="single" w:sz="8" w:space="0" w:color="auto"/>
            </w:tcBorders>
            <w:shd w:val="clear" w:color="auto" w:fill="auto"/>
            <w:vAlign w:val="center"/>
            <w:hideMark/>
          </w:tcPr>
          <w:p w:rsidR="0068722F" w:rsidRDefault="0068722F" w:rsidP="0068722F">
            <w:pPr>
              <w:jc w:val="center"/>
              <w:rPr>
                <w:color w:val="000000"/>
                <w:sz w:val="18"/>
                <w:szCs w:val="18"/>
              </w:rPr>
            </w:pPr>
            <w:r>
              <w:rPr>
                <w:color w:val="000000"/>
                <w:sz w:val="18"/>
                <w:szCs w:val="18"/>
              </w:rPr>
              <w:t>2.063.052</w:t>
            </w:r>
          </w:p>
        </w:tc>
        <w:tc>
          <w:tcPr>
            <w:tcW w:w="1559" w:type="dxa"/>
            <w:tcBorders>
              <w:top w:val="nil"/>
              <w:left w:val="nil"/>
              <w:bottom w:val="single" w:sz="8" w:space="0" w:color="auto"/>
              <w:right w:val="single" w:sz="8" w:space="0" w:color="auto"/>
            </w:tcBorders>
            <w:shd w:val="clear" w:color="auto" w:fill="auto"/>
            <w:vAlign w:val="center"/>
            <w:hideMark/>
          </w:tcPr>
          <w:p w:rsidR="0068722F" w:rsidRDefault="0068722F" w:rsidP="0068722F">
            <w:pPr>
              <w:jc w:val="center"/>
              <w:rPr>
                <w:color w:val="000000"/>
                <w:sz w:val="18"/>
                <w:szCs w:val="18"/>
              </w:rPr>
            </w:pPr>
            <w:r>
              <w:rPr>
                <w:color w:val="000000"/>
                <w:sz w:val="18"/>
                <w:szCs w:val="18"/>
              </w:rPr>
              <w:t>2.978.423</w:t>
            </w:r>
          </w:p>
        </w:tc>
        <w:tc>
          <w:tcPr>
            <w:tcW w:w="1418" w:type="dxa"/>
            <w:tcBorders>
              <w:top w:val="nil"/>
              <w:left w:val="nil"/>
              <w:bottom w:val="single" w:sz="8" w:space="0" w:color="auto"/>
              <w:right w:val="nil"/>
            </w:tcBorders>
            <w:shd w:val="clear" w:color="auto" w:fill="auto"/>
            <w:noWrap/>
            <w:vAlign w:val="center"/>
            <w:hideMark/>
          </w:tcPr>
          <w:p w:rsidR="0068722F" w:rsidRDefault="0068722F" w:rsidP="0068722F">
            <w:pPr>
              <w:jc w:val="center"/>
              <w:rPr>
                <w:color w:val="000000"/>
                <w:sz w:val="18"/>
                <w:szCs w:val="18"/>
              </w:rPr>
            </w:pPr>
            <w:r>
              <w:rPr>
                <w:color w:val="000000"/>
                <w:sz w:val="18"/>
                <w:szCs w:val="18"/>
              </w:rPr>
              <w:t>915.371</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68722F" w:rsidRDefault="0068722F" w:rsidP="0068722F">
            <w:pPr>
              <w:jc w:val="center"/>
              <w:rPr>
                <w:color w:val="000000"/>
                <w:sz w:val="18"/>
                <w:szCs w:val="18"/>
              </w:rPr>
            </w:pPr>
            <w:r>
              <w:rPr>
                <w:color w:val="000000"/>
                <w:sz w:val="18"/>
                <w:szCs w:val="18"/>
              </w:rPr>
              <w:t>44,37%</w:t>
            </w:r>
          </w:p>
        </w:tc>
      </w:tr>
    </w:tbl>
    <w:p w:rsidR="004F00E5" w:rsidRDefault="004F00E5" w:rsidP="00632028">
      <w:pPr>
        <w:adjustRightInd w:val="0"/>
        <w:ind w:left="284"/>
        <w:jc w:val="both"/>
        <w:rPr>
          <w:rFonts w:eastAsia="Calibri"/>
        </w:rPr>
      </w:pPr>
    </w:p>
    <w:p w:rsidR="00797A02" w:rsidRDefault="0068722F" w:rsidP="00797A02">
      <w:pPr>
        <w:adjustRightInd w:val="0"/>
        <w:ind w:left="284"/>
        <w:jc w:val="both"/>
        <w:rPr>
          <w:rFonts w:eastAsia="Calibri"/>
        </w:rPr>
      </w:pPr>
      <w:r>
        <w:rPr>
          <w:rFonts w:eastAsia="Calibri"/>
        </w:rPr>
        <w:t>Para el segundo</w:t>
      </w:r>
      <w:r w:rsidR="00797A02">
        <w:rPr>
          <w:rFonts w:eastAsia="Calibri"/>
        </w:rPr>
        <w:t xml:space="preserve"> trimestre de 201</w:t>
      </w:r>
      <w:r>
        <w:rPr>
          <w:rFonts w:eastAsia="Calibri"/>
        </w:rPr>
        <w:t>9</w:t>
      </w:r>
      <w:r w:rsidR="00797A02">
        <w:rPr>
          <w:rFonts w:eastAsia="Calibri"/>
        </w:rPr>
        <w:t>, comparado con el mis</w:t>
      </w:r>
      <w:r>
        <w:rPr>
          <w:rFonts w:eastAsia="Calibri"/>
        </w:rPr>
        <w:t>mo trimestre de la vigencia 2018</w:t>
      </w:r>
      <w:r w:rsidR="00797A02">
        <w:rPr>
          <w:rFonts w:eastAsia="Calibri"/>
        </w:rPr>
        <w:t xml:space="preserve"> se evidencia un</w:t>
      </w:r>
      <w:r w:rsidR="00082A3B">
        <w:rPr>
          <w:rFonts w:eastAsia="Calibri"/>
        </w:rPr>
        <w:t xml:space="preserve"> </w:t>
      </w:r>
      <w:r>
        <w:rPr>
          <w:rFonts w:eastAsia="Calibri"/>
        </w:rPr>
        <w:t>incremento</w:t>
      </w:r>
      <w:r w:rsidR="00082A3B">
        <w:rPr>
          <w:rFonts w:eastAsia="Calibri"/>
        </w:rPr>
        <w:t xml:space="preserve"> del </w:t>
      </w:r>
      <w:r>
        <w:rPr>
          <w:rFonts w:eastAsia="Calibri"/>
        </w:rPr>
        <w:t>44</w:t>
      </w:r>
      <w:r w:rsidR="00082A3B">
        <w:rPr>
          <w:rFonts w:eastAsia="Calibri"/>
        </w:rPr>
        <w:t>,</w:t>
      </w:r>
      <w:r>
        <w:rPr>
          <w:rFonts w:eastAsia="Calibri"/>
        </w:rPr>
        <w:t>37</w:t>
      </w:r>
      <w:r w:rsidR="00797A02">
        <w:rPr>
          <w:rFonts w:eastAsia="Calibri"/>
        </w:rPr>
        <w:t xml:space="preserve">% el cual </w:t>
      </w:r>
      <w:r w:rsidR="003D7542">
        <w:rPr>
          <w:rFonts w:eastAsia="Calibri"/>
        </w:rPr>
        <w:t>podría</w:t>
      </w:r>
      <w:r w:rsidR="00B56F74">
        <w:rPr>
          <w:rFonts w:eastAsia="Calibri"/>
        </w:rPr>
        <w:t xml:space="preserve"> obedecer al incremento legal del salario sobre el cual se hace la liquidación de las horas extras de los </w:t>
      </w:r>
      <w:r w:rsidR="003D7542">
        <w:rPr>
          <w:rFonts w:eastAsia="Calibri"/>
        </w:rPr>
        <w:t>funcionarios</w:t>
      </w:r>
      <w:r w:rsidR="00797A02">
        <w:rPr>
          <w:rFonts w:eastAsia="Calibri"/>
        </w:rPr>
        <w:t>, sin embargo</w:t>
      </w:r>
      <w:r w:rsidR="000E66AB">
        <w:rPr>
          <w:rFonts w:eastAsia="Calibri"/>
        </w:rPr>
        <w:t>,</w:t>
      </w:r>
      <w:r w:rsidR="00797A02">
        <w:rPr>
          <w:rFonts w:eastAsia="Calibri"/>
        </w:rPr>
        <w:t xml:space="preserve"> se analiza la tendencia de los últimos cinco trim</w:t>
      </w:r>
      <w:r w:rsidR="00B56F74">
        <w:rPr>
          <w:rFonts w:eastAsia="Calibri"/>
        </w:rPr>
        <w:t>estres incluida la vigencia 2018</w:t>
      </w:r>
      <w:r w:rsidR="00797A02">
        <w:rPr>
          <w:rFonts w:eastAsia="Calibri"/>
        </w:rPr>
        <w:t>. Ver grafica siguiente:</w:t>
      </w:r>
    </w:p>
    <w:p w:rsidR="0068722F" w:rsidRDefault="0068722F" w:rsidP="00797A02">
      <w:pPr>
        <w:adjustRightInd w:val="0"/>
        <w:ind w:left="284"/>
        <w:jc w:val="both"/>
        <w:rPr>
          <w:rFonts w:eastAsia="Calibri"/>
        </w:rPr>
      </w:pPr>
    </w:p>
    <w:p w:rsidR="0068722F" w:rsidRDefault="0068722F" w:rsidP="0068722F">
      <w:pPr>
        <w:adjustRightInd w:val="0"/>
        <w:ind w:left="284"/>
        <w:jc w:val="center"/>
        <w:rPr>
          <w:rFonts w:eastAsia="Calibri"/>
        </w:rPr>
      </w:pPr>
      <w:r>
        <w:rPr>
          <w:noProof/>
          <w:lang w:bidi="ar-SA"/>
        </w:rPr>
        <w:drawing>
          <wp:inline distT="0" distB="0" distL="0" distR="0" wp14:anchorId="3B9C535B" wp14:editId="0814CAE4">
            <wp:extent cx="4583907" cy="3287977"/>
            <wp:effectExtent l="0" t="0" r="26670" b="273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6710" w:rsidRPr="00FE016C" w:rsidRDefault="00886710" w:rsidP="00886710">
      <w:pPr>
        <w:pStyle w:val="Ttulo1"/>
        <w:tabs>
          <w:tab w:val="left" w:pos="586"/>
          <w:tab w:val="left" w:pos="1276"/>
        </w:tabs>
        <w:spacing w:line="276" w:lineRule="auto"/>
        <w:ind w:left="0" w:right="505"/>
        <w:jc w:val="center"/>
        <w:rPr>
          <w:sz w:val="20"/>
        </w:rPr>
      </w:pPr>
      <w:r w:rsidRPr="00966CAB">
        <w:rPr>
          <w:sz w:val="18"/>
        </w:rPr>
        <w:t xml:space="preserve">Fuente: </w:t>
      </w:r>
      <w:r>
        <w:rPr>
          <w:sz w:val="18"/>
        </w:rPr>
        <w:t>Ejecución presupuestal</w:t>
      </w:r>
      <w:r w:rsidRPr="00966CAB">
        <w:rPr>
          <w:sz w:val="18"/>
        </w:rPr>
        <w:t xml:space="preserve"> - Subgerencia </w:t>
      </w:r>
      <w:r>
        <w:rPr>
          <w:sz w:val="18"/>
        </w:rPr>
        <w:t>Financiera</w:t>
      </w:r>
    </w:p>
    <w:p w:rsidR="004C03FD" w:rsidRDefault="004C03FD" w:rsidP="00797A02">
      <w:pPr>
        <w:adjustRightInd w:val="0"/>
        <w:ind w:left="284"/>
        <w:jc w:val="both"/>
        <w:rPr>
          <w:rFonts w:eastAsia="Calibri"/>
        </w:rPr>
      </w:pPr>
    </w:p>
    <w:p w:rsidR="00BA74F1" w:rsidRDefault="00EC715D" w:rsidP="0009493C">
      <w:pPr>
        <w:adjustRightInd w:val="0"/>
        <w:ind w:left="284"/>
        <w:jc w:val="both"/>
        <w:rPr>
          <w:rFonts w:eastAsia="Calibri"/>
        </w:rPr>
      </w:pPr>
      <w:r>
        <w:rPr>
          <w:rFonts w:eastAsia="Calibri"/>
        </w:rPr>
        <w:t>De la gráfica anterior se evidencia</w:t>
      </w:r>
      <w:r w:rsidR="00497599">
        <w:rPr>
          <w:rFonts w:eastAsia="Calibri"/>
        </w:rPr>
        <w:t xml:space="preserve"> que</w:t>
      </w:r>
      <w:r w:rsidR="00A34337">
        <w:rPr>
          <w:rFonts w:eastAsia="Calibri"/>
        </w:rPr>
        <w:t xml:space="preserve">, </w:t>
      </w:r>
      <w:r w:rsidR="0009493C">
        <w:rPr>
          <w:rFonts w:eastAsia="Calibri"/>
        </w:rPr>
        <w:t>adicional al</w:t>
      </w:r>
      <w:r w:rsidR="00A34337">
        <w:rPr>
          <w:rFonts w:eastAsia="Calibri"/>
        </w:rPr>
        <w:t xml:space="preserve"> </w:t>
      </w:r>
      <w:r w:rsidR="004C7679">
        <w:rPr>
          <w:rFonts w:eastAsia="Calibri"/>
        </w:rPr>
        <w:t>incremento</w:t>
      </w:r>
      <w:r w:rsidR="00A34337">
        <w:rPr>
          <w:rFonts w:eastAsia="Calibri"/>
        </w:rPr>
        <w:t xml:space="preserve"> del </w:t>
      </w:r>
      <w:r w:rsidR="004C7679">
        <w:rPr>
          <w:rFonts w:eastAsia="Calibri"/>
        </w:rPr>
        <w:t>44</w:t>
      </w:r>
      <w:r w:rsidR="00A34337">
        <w:rPr>
          <w:rFonts w:eastAsia="Calibri"/>
        </w:rPr>
        <w:t>,</w:t>
      </w:r>
      <w:r w:rsidR="004C7679">
        <w:rPr>
          <w:rFonts w:eastAsia="Calibri"/>
        </w:rPr>
        <w:t>3</w:t>
      </w:r>
      <w:r w:rsidR="00A34337">
        <w:rPr>
          <w:rFonts w:eastAsia="Calibri"/>
        </w:rPr>
        <w:t>7% comparado con el mismo trimestre de la vigencia 201</w:t>
      </w:r>
      <w:r w:rsidR="004C7679">
        <w:rPr>
          <w:rFonts w:eastAsia="Calibri"/>
        </w:rPr>
        <w:t>8</w:t>
      </w:r>
      <w:r w:rsidR="00A34337">
        <w:rPr>
          <w:rFonts w:eastAsia="Calibri"/>
        </w:rPr>
        <w:t>, existe también un incremento</w:t>
      </w:r>
      <w:r w:rsidR="00D5148A">
        <w:rPr>
          <w:rFonts w:eastAsia="Calibri"/>
        </w:rPr>
        <w:t xml:space="preserve"> representativo correspondiente al </w:t>
      </w:r>
      <w:r w:rsidR="00E769DF">
        <w:rPr>
          <w:rFonts w:eastAsia="Calibri"/>
        </w:rPr>
        <w:t>157%</w:t>
      </w:r>
      <w:r w:rsidR="00A34337">
        <w:rPr>
          <w:rFonts w:eastAsia="Calibri"/>
        </w:rPr>
        <w:t xml:space="preserve"> con respecto al</w:t>
      </w:r>
      <w:r w:rsidR="004C7679">
        <w:rPr>
          <w:rFonts w:eastAsia="Calibri"/>
        </w:rPr>
        <w:t xml:space="preserve"> primer</w:t>
      </w:r>
      <w:r w:rsidR="00A34337">
        <w:rPr>
          <w:rFonts w:eastAsia="Calibri"/>
        </w:rPr>
        <w:t xml:space="preserve"> </w:t>
      </w:r>
      <w:r>
        <w:rPr>
          <w:rFonts w:eastAsia="Calibri"/>
        </w:rPr>
        <w:t xml:space="preserve">trimestre </w:t>
      </w:r>
      <w:r w:rsidR="00A34337">
        <w:rPr>
          <w:rFonts w:eastAsia="Calibri"/>
        </w:rPr>
        <w:t>de la</w:t>
      </w:r>
      <w:r w:rsidR="005D09A7">
        <w:rPr>
          <w:rFonts w:eastAsia="Calibri"/>
        </w:rPr>
        <w:t xml:space="preserve"> misma</w:t>
      </w:r>
      <w:r w:rsidR="004C7679">
        <w:rPr>
          <w:rFonts w:eastAsia="Calibri"/>
        </w:rPr>
        <w:t xml:space="preserve"> vigencia 2019</w:t>
      </w:r>
      <w:r w:rsidR="0009493C">
        <w:rPr>
          <w:rFonts w:eastAsia="Calibri"/>
        </w:rPr>
        <w:t>, que podría corresponder a los tiempos en los funcionarios realizan la legalización de las horas extras.</w:t>
      </w:r>
    </w:p>
    <w:p w:rsidR="00505A13" w:rsidRDefault="00505A13" w:rsidP="00EC715D">
      <w:pPr>
        <w:adjustRightInd w:val="0"/>
        <w:ind w:left="284"/>
        <w:jc w:val="both"/>
        <w:rPr>
          <w:rFonts w:eastAsia="Calibri"/>
        </w:rPr>
      </w:pPr>
    </w:p>
    <w:p w:rsidR="00505A13" w:rsidRDefault="00505A13" w:rsidP="00505A13">
      <w:pPr>
        <w:adjustRightInd w:val="0"/>
        <w:jc w:val="both"/>
        <w:rPr>
          <w:rFonts w:eastAsia="Calibri"/>
          <w:b/>
        </w:rPr>
      </w:pPr>
      <w:r w:rsidRPr="002058AE">
        <w:rPr>
          <w:rFonts w:eastAsia="Calibri"/>
          <w:b/>
        </w:rPr>
        <w:lastRenderedPageBreak/>
        <w:t xml:space="preserve">Vacaciones </w:t>
      </w:r>
    </w:p>
    <w:p w:rsidR="00505A13" w:rsidRDefault="00505A13" w:rsidP="00505A13">
      <w:pPr>
        <w:adjustRightInd w:val="0"/>
        <w:jc w:val="both"/>
        <w:rPr>
          <w:rFonts w:eastAsia="Calibri"/>
        </w:rPr>
      </w:pPr>
    </w:p>
    <w:p w:rsidR="00505A13" w:rsidRPr="001E4FE6" w:rsidRDefault="00505A13" w:rsidP="00505A13">
      <w:pPr>
        <w:jc w:val="both"/>
        <w:rPr>
          <w:rFonts w:eastAsia="Calibri"/>
        </w:rPr>
      </w:pPr>
      <w:r w:rsidRPr="00230ABE">
        <w:rPr>
          <w:rFonts w:eastAsia="Calibri"/>
        </w:rPr>
        <w:t xml:space="preserve">Según lo establecido en las Directivas Presidenciales </w:t>
      </w:r>
      <w:r>
        <w:rPr>
          <w:rFonts w:eastAsia="Calibri"/>
        </w:rPr>
        <w:t>n</w:t>
      </w:r>
      <w:r w:rsidRPr="00230ABE">
        <w:rPr>
          <w:rFonts w:eastAsia="Calibri"/>
        </w:rPr>
        <w:t>úmeros 06 de 2014</w:t>
      </w:r>
      <w:r>
        <w:rPr>
          <w:rFonts w:eastAsia="Calibri"/>
        </w:rPr>
        <w:t>: “</w:t>
      </w:r>
      <w:r w:rsidRPr="00230ABE">
        <w:rPr>
          <w:rFonts w:eastAsia="Calibri"/>
        </w:rPr>
        <w:t>Como general, las vacaciones no deben ser acumuladas ni interrumpidas</w:t>
      </w:r>
      <w:r>
        <w:rPr>
          <w:rFonts w:eastAsia="Calibri"/>
        </w:rPr>
        <w:t xml:space="preserve"> sin</w:t>
      </w:r>
      <w:r w:rsidRPr="00230ABE">
        <w:rPr>
          <w:rFonts w:eastAsia="Calibri"/>
        </w:rPr>
        <w:t xml:space="preserve"> motivo legal realmente justificado y no podrán ser compensadas en dinero, salvo retiro del funcionario</w:t>
      </w:r>
      <w:r>
        <w:rPr>
          <w:rFonts w:eastAsia="Calibri"/>
        </w:rPr>
        <w:t xml:space="preserve">. El </w:t>
      </w:r>
      <w:r w:rsidRPr="00230ABE">
        <w:rPr>
          <w:rFonts w:eastAsia="Calibri"/>
        </w:rPr>
        <w:t xml:space="preserve">funcionario encargado de otorgar las vacaciones debe reconocerlas </w:t>
      </w:r>
      <w:r>
        <w:rPr>
          <w:rFonts w:eastAsia="Calibri"/>
        </w:rPr>
        <w:t xml:space="preserve">de </w:t>
      </w:r>
      <w:r w:rsidRPr="00230ABE">
        <w:rPr>
          <w:rFonts w:eastAsia="Calibri"/>
        </w:rPr>
        <w:t>oficio si no le son solicitadas dentro de un término prudencial una vez que se causen</w:t>
      </w:r>
      <w:r>
        <w:rPr>
          <w:rFonts w:eastAsia="Calibri"/>
        </w:rPr>
        <w:t>”</w:t>
      </w:r>
      <w:r w:rsidRPr="00230ABE">
        <w:rPr>
          <w:rFonts w:eastAsia="Calibri"/>
        </w:rPr>
        <w:t xml:space="preserve"> y lo dispuesto en el literal b) del numeral 1.7 de la Directiva Presidencial No. 09 del 09 de noviembre de 2018, que establece “Por regla general, las vacaciones no deben ser acumuladas ni interrumpidas. Solo por necesidades del servicio o retiro podrán ser compensadas en dinero” (Negrillas y subrayas fuera del texto original)</w:t>
      </w:r>
      <w:r>
        <w:rPr>
          <w:rFonts w:eastAsia="Calibri"/>
        </w:rPr>
        <w:t xml:space="preserve">. </w:t>
      </w:r>
      <w:r w:rsidRPr="001E4FE6">
        <w:rPr>
          <w:rFonts w:eastAsia="Calibri"/>
        </w:rPr>
        <w:t>Igualmente, la Circular Interna Nº 004 de 2014 emitida por Función Pública, dispuso las mismas medidas de las anteriores disposiciones.</w:t>
      </w:r>
    </w:p>
    <w:p w:rsidR="00505A13" w:rsidRPr="009B4B87" w:rsidRDefault="00505A13" w:rsidP="00505A13">
      <w:pPr>
        <w:jc w:val="both"/>
        <w:rPr>
          <w:rFonts w:eastAsia="Calibri"/>
        </w:rPr>
      </w:pPr>
      <w:r w:rsidRPr="009B4B87">
        <w:rPr>
          <w:rFonts w:eastAsia="Calibri"/>
        </w:rPr>
        <w:t xml:space="preserve"> </w:t>
      </w:r>
    </w:p>
    <w:p w:rsidR="00505A13" w:rsidRDefault="00505A13" w:rsidP="00505A13">
      <w:pPr>
        <w:adjustRightInd w:val="0"/>
        <w:jc w:val="both"/>
        <w:rPr>
          <w:rFonts w:eastAsia="Calibri"/>
        </w:rPr>
      </w:pPr>
      <w:r w:rsidRPr="009B4B87">
        <w:rPr>
          <w:rFonts w:eastAsia="Calibri"/>
        </w:rPr>
        <w:t xml:space="preserve">De acuerdo con lo anterior y teniendo en cuenta lo reportado por el </w:t>
      </w:r>
      <w:r>
        <w:rPr>
          <w:rFonts w:eastAsia="Calibri"/>
        </w:rPr>
        <w:t>área administrativa</w:t>
      </w:r>
      <w:r w:rsidRPr="00C8674B">
        <w:rPr>
          <w:rFonts w:eastAsia="Calibri"/>
        </w:rPr>
        <w:t>, los siguientes servidores presentan dos (2) o más periodos de vacaciones pendientes por disfrutar:</w:t>
      </w:r>
      <w:r>
        <w:rPr>
          <w:rFonts w:eastAsia="Calibri"/>
        </w:rPr>
        <w:t xml:space="preserve">  </w:t>
      </w:r>
    </w:p>
    <w:p w:rsidR="00505A13" w:rsidRPr="009B4B87" w:rsidRDefault="00505A13" w:rsidP="00EC715D">
      <w:pPr>
        <w:adjustRightInd w:val="0"/>
        <w:ind w:left="284"/>
        <w:jc w:val="both"/>
        <w:rPr>
          <w:rFonts w:eastAsia="Calibri"/>
        </w:rPr>
      </w:pPr>
    </w:p>
    <w:tbl>
      <w:tblPr>
        <w:tblStyle w:val="Sombreadomedio1-nfasis2"/>
        <w:tblW w:w="9214" w:type="dxa"/>
        <w:tblInd w:w="108" w:type="dxa"/>
        <w:tblLook w:val="04A0" w:firstRow="1" w:lastRow="0" w:firstColumn="1" w:lastColumn="0" w:noHBand="0" w:noVBand="1"/>
      </w:tblPr>
      <w:tblGrid>
        <w:gridCol w:w="3163"/>
        <w:gridCol w:w="1057"/>
        <w:gridCol w:w="1057"/>
        <w:gridCol w:w="1057"/>
        <w:gridCol w:w="1057"/>
        <w:gridCol w:w="1823"/>
      </w:tblGrid>
      <w:tr w:rsidR="00505A13" w:rsidRPr="005E53F2" w:rsidTr="00505A13">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163" w:type="dxa"/>
            <w:noWrap/>
            <w:hideMark/>
          </w:tcPr>
          <w:p w:rsidR="00505A13" w:rsidRPr="005E53F2" w:rsidRDefault="00505A13" w:rsidP="00505A13">
            <w:pPr>
              <w:jc w:val="center"/>
              <w:rPr>
                <w:rFonts w:eastAsia="Times New Roman"/>
                <w:color w:val="FFFFFF"/>
              </w:rPr>
            </w:pPr>
            <w:r w:rsidRPr="005E53F2">
              <w:rPr>
                <w:rFonts w:eastAsia="Times New Roman"/>
                <w:color w:val="FFFFFF"/>
              </w:rPr>
              <w:t>Servidor</w:t>
            </w:r>
          </w:p>
        </w:tc>
        <w:tc>
          <w:tcPr>
            <w:tcW w:w="2114" w:type="dxa"/>
            <w:gridSpan w:val="2"/>
            <w:noWrap/>
            <w:hideMark/>
          </w:tcPr>
          <w:p w:rsidR="00505A13" w:rsidRPr="005E53F2" w:rsidRDefault="00505A13" w:rsidP="00505A13">
            <w:pPr>
              <w:jc w:val="center"/>
              <w:cnfStyle w:val="100000000000" w:firstRow="1" w:lastRow="0" w:firstColumn="0" w:lastColumn="0" w:oddVBand="0" w:evenVBand="0" w:oddHBand="0" w:evenHBand="0" w:firstRowFirstColumn="0" w:firstRowLastColumn="0" w:lastRowFirstColumn="0" w:lastRowLastColumn="0"/>
              <w:rPr>
                <w:rFonts w:eastAsia="Times New Roman"/>
                <w:color w:val="FFFFFF"/>
              </w:rPr>
            </w:pPr>
            <w:r w:rsidRPr="005E53F2">
              <w:rPr>
                <w:rFonts w:eastAsia="Times New Roman"/>
                <w:color w:val="FFFFFF"/>
              </w:rPr>
              <w:t>Periodo causación 1</w:t>
            </w:r>
          </w:p>
        </w:tc>
        <w:tc>
          <w:tcPr>
            <w:tcW w:w="2114" w:type="dxa"/>
            <w:gridSpan w:val="2"/>
            <w:noWrap/>
            <w:hideMark/>
          </w:tcPr>
          <w:p w:rsidR="00505A13" w:rsidRPr="005E53F2" w:rsidRDefault="00505A13" w:rsidP="00505A13">
            <w:pPr>
              <w:jc w:val="center"/>
              <w:cnfStyle w:val="100000000000" w:firstRow="1" w:lastRow="0" w:firstColumn="0" w:lastColumn="0" w:oddVBand="0" w:evenVBand="0" w:oddHBand="0" w:evenHBand="0" w:firstRowFirstColumn="0" w:firstRowLastColumn="0" w:lastRowFirstColumn="0" w:lastRowLastColumn="0"/>
              <w:rPr>
                <w:rFonts w:eastAsia="Times New Roman"/>
                <w:color w:val="FFFFFF"/>
              </w:rPr>
            </w:pPr>
            <w:r w:rsidRPr="005E53F2">
              <w:rPr>
                <w:rFonts w:eastAsia="Times New Roman"/>
                <w:color w:val="FFFFFF"/>
              </w:rPr>
              <w:t>Periodo causación 2</w:t>
            </w:r>
          </w:p>
        </w:tc>
        <w:tc>
          <w:tcPr>
            <w:tcW w:w="1823" w:type="dxa"/>
            <w:noWrap/>
            <w:hideMark/>
          </w:tcPr>
          <w:p w:rsidR="00505A13" w:rsidRDefault="00505A13" w:rsidP="00505A13">
            <w:pPr>
              <w:jc w:val="center"/>
              <w:cnfStyle w:val="100000000000" w:firstRow="1" w:lastRow="0" w:firstColumn="0" w:lastColumn="0" w:oddVBand="0" w:evenVBand="0" w:oddHBand="0" w:evenHBand="0" w:firstRowFirstColumn="0" w:firstRowLastColumn="0" w:lastRowFirstColumn="0" w:lastRowLastColumn="0"/>
              <w:rPr>
                <w:rFonts w:eastAsia="Times New Roman"/>
                <w:color w:val="FFFFFF"/>
              </w:rPr>
            </w:pPr>
            <w:r w:rsidRPr="005E53F2">
              <w:rPr>
                <w:rFonts w:eastAsia="Times New Roman"/>
                <w:color w:val="FFFFFF"/>
              </w:rPr>
              <w:t xml:space="preserve">Observación </w:t>
            </w:r>
          </w:p>
          <w:p w:rsidR="00505A13" w:rsidRPr="005E53F2" w:rsidRDefault="00505A13" w:rsidP="00505A13">
            <w:pPr>
              <w:jc w:val="center"/>
              <w:cnfStyle w:val="100000000000" w:firstRow="1" w:lastRow="0" w:firstColumn="0" w:lastColumn="0" w:oddVBand="0" w:evenVBand="0" w:oddHBand="0" w:evenHBand="0" w:firstRowFirstColumn="0" w:firstRowLastColumn="0" w:lastRowFirstColumn="0" w:lastRowLastColumn="0"/>
              <w:rPr>
                <w:rFonts w:eastAsia="Times New Roman"/>
                <w:color w:val="FFFFFF"/>
              </w:rPr>
            </w:pPr>
            <w:r>
              <w:rPr>
                <w:rFonts w:eastAsia="Times New Roman"/>
                <w:color w:val="FFFFFF"/>
              </w:rPr>
              <w:t>vacaciones</w:t>
            </w:r>
          </w:p>
        </w:tc>
      </w:tr>
      <w:tr w:rsidR="00505A13" w:rsidRPr="005E53F2" w:rsidTr="00505A1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63" w:type="dxa"/>
            <w:noWrap/>
            <w:hideMark/>
          </w:tcPr>
          <w:p w:rsidR="00505A13" w:rsidRPr="005E53F2" w:rsidRDefault="008D1630" w:rsidP="00505A13">
            <w:pPr>
              <w:rPr>
                <w:rFonts w:eastAsia="Times New Roman"/>
                <w:b w:val="0"/>
                <w:sz w:val="16"/>
                <w:szCs w:val="16"/>
              </w:rPr>
            </w:pPr>
            <w:r>
              <w:rPr>
                <w:rFonts w:eastAsia="Times New Roman"/>
                <w:b w:val="0"/>
                <w:sz w:val="16"/>
                <w:szCs w:val="16"/>
              </w:rPr>
              <w:t>JIMENEZ DOMINGUEZ ETNA PAOLA</w:t>
            </w:r>
          </w:p>
        </w:tc>
        <w:tc>
          <w:tcPr>
            <w:tcW w:w="1057" w:type="dxa"/>
            <w:noWrap/>
            <w:hideMark/>
          </w:tcPr>
          <w:p w:rsidR="00505A13" w:rsidRPr="005E53F2" w:rsidRDefault="008D1630" w:rsidP="008D1630">
            <w:pPr>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Pr>
                <w:rFonts w:eastAsia="Times New Roman"/>
                <w:sz w:val="16"/>
                <w:szCs w:val="16"/>
              </w:rPr>
              <w:t>11/01/2017</w:t>
            </w:r>
          </w:p>
        </w:tc>
        <w:tc>
          <w:tcPr>
            <w:tcW w:w="1057" w:type="dxa"/>
            <w:noWrap/>
            <w:hideMark/>
          </w:tcPr>
          <w:p w:rsidR="00505A13" w:rsidRPr="005E53F2" w:rsidRDefault="008D1630" w:rsidP="008D1630">
            <w:pPr>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Pr>
                <w:rFonts w:eastAsia="Times New Roman"/>
                <w:sz w:val="16"/>
                <w:szCs w:val="16"/>
              </w:rPr>
              <w:t>10/01/2018</w:t>
            </w:r>
          </w:p>
        </w:tc>
        <w:tc>
          <w:tcPr>
            <w:tcW w:w="1057" w:type="dxa"/>
            <w:noWrap/>
            <w:hideMark/>
          </w:tcPr>
          <w:p w:rsidR="00505A13" w:rsidRPr="005E53F2" w:rsidRDefault="008D1630" w:rsidP="008D1630">
            <w:pPr>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Pr>
                <w:rFonts w:eastAsia="Times New Roman"/>
                <w:sz w:val="16"/>
                <w:szCs w:val="16"/>
              </w:rPr>
              <w:t>11/01/2018</w:t>
            </w:r>
          </w:p>
        </w:tc>
        <w:tc>
          <w:tcPr>
            <w:tcW w:w="1057" w:type="dxa"/>
            <w:noWrap/>
            <w:hideMark/>
          </w:tcPr>
          <w:p w:rsidR="00505A13" w:rsidRPr="005E53F2" w:rsidRDefault="008D1630" w:rsidP="008D1630">
            <w:pPr>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Pr>
                <w:rFonts w:eastAsia="Times New Roman"/>
                <w:sz w:val="16"/>
                <w:szCs w:val="16"/>
              </w:rPr>
              <w:t>10/01/2019</w:t>
            </w:r>
          </w:p>
        </w:tc>
        <w:tc>
          <w:tcPr>
            <w:tcW w:w="1823" w:type="dxa"/>
            <w:hideMark/>
          </w:tcPr>
          <w:p w:rsidR="00505A13" w:rsidRPr="00A134FE" w:rsidRDefault="00505A13" w:rsidP="00505A13">
            <w:pPr>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rPr>
            </w:pPr>
            <w:r w:rsidRPr="00A134FE">
              <w:rPr>
                <w:rFonts w:eastAsia="Times New Roman"/>
                <w:sz w:val="14"/>
                <w:szCs w:val="14"/>
              </w:rPr>
              <w:t>Programadas en la vi</w:t>
            </w:r>
            <w:r w:rsidR="008D1630">
              <w:rPr>
                <w:rFonts w:eastAsia="Times New Roman"/>
                <w:sz w:val="14"/>
                <w:szCs w:val="14"/>
              </w:rPr>
              <w:t>gencia 2019 para el periodo 2017-2018</w:t>
            </w:r>
          </w:p>
        </w:tc>
      </w:tr>
      <w:tr w:rsidR="00505A13" w:rsidRPr="005E53F2" w:rsidTr="00505A13">
        <w:trPr>
          <w:cnfStyle w:val="000000010000" w:firstRow="0" w:lastRow="0" w:firstColumn="0" w:lastColumn="0" w:oddVBand="0" w:evenVBand="0" w:oddHBand="0" w:evenHBand="1"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163" w:type="dxa"/>
            <w:noWrap/>
            <w:hideMark/>
          </w:tcPr>
          <w:p w:rsidR="00505A13" w:rsidRPr="005E53F2" w:rsidRDefault="008D1630" w:rsidP="00505A13">
            <w:pPr>
              <w:rPr>
                <w:rFonts w:eastAsia="Times New Roman"/>
                <w:b w:val="0"/>
                <w:sz w:val="16"/>
                <w:szCs w:val="16"/>
              </w:rPr>
            </w:pPr>
            <w:r>
              <w:rPr>
                <w:rFonts w:eastAsia="Times New Roman"/>
                <w:b w:val="0"/>
                <w:sz w:val="16"/>
                <w:szCs w:val="16"/>
              </w:rPr>
              <w:t>CABALLERO PARRA IVAN ANDRES</w:t>
            </w:r>
          </w:p>
        </w:tc>
        <w:tc>
          <w:tcPr>
            <w:tcW w:w="1057" w:type="dxa"/>
            <w:noWrap/>
            <w:hideMark/>
          </w:tcPr>
          <w:p w:rsidR="00505A13" w:rsidRPr="005E53F2" w:rsidRDefault="008D1630" w:rsidP="008D1630">
            <w:pPr>
              <w:jc w:val="center"/>
              <w:cnfStyle w:val="000000010000" w:firstRow="0" w:lastRow="0" w:firstColumn="0" w:lastColumn="0" w:oddVBand="0" w:evenVBand="0" w:oddHBand="0" w:evenHBand="1" w:firstRowFirstColumn="0" w:firstRowLastColumn="0" w:lastRowFirstColumn="0" w:lastRowLastColumn="0"/>
              <w:rPr>
                <w:rFonts w:eastAsia="Times New Roman"/>
                <w:sz w:val="16"/>
                <w:szCs w:val="16"/>
              </w:rPr>
            </w:pPr>
            <w:r>
              <w:rPr>
                <w:rFonts w:eastAsia="Times New Roman"/>
                <w:sz w:val="16"/>
                <w:szCs w:val="16"/>
              </w:rPr>
              <w:t>01</w:t>
            </w:r>
            <w:r w:rsidR="00505A13" w:rsidRPr="005E53F2">
              <w:rPr>
                <w:rFonts w:eastAsia="Times New Roman"/>
                <w:sz w:val="16"/>
                <w:szCs w:val="16"/>
              </w:rPr>
              <w:t>/</w:t>
            </w:r>
            <w:r>
              <w:rPr>
                <w:rFonts w:eastAsia="Times New Roman"/>
                <w:sz w:val="16"/>
                <w:szCs w:val="16"/>
              </w:rPr>
              <w:t>02/2017</w:t>
            </w:r>
          </w:p>
        </w:tc>
        <w:tc>
          <w:tcPr>
            <w:tcW w:w="1057" w:type="dxa"/>
            <w:noWrap/>
            <w:hideMark/>
          </w:tcPr>
          <w:p w:rsidR="00505A13" w:rsidRPr="005E53F2" w:rsidRDefault="008D1630" w:rsidP="008D1630">
            <w:pPr>
              <w:jc w:val="center"/>
              <w:cnfStyle w:val="000000010000" w:firstRow="0" w:lastRow="0" w:firstColumn="0" w:lastColumn="0" w:oddVBand="0" w:evenVBand="0" w:oddHBand="0" w:evenHBand="1" w:firstRowFirstColumn="0" w:firstRowLastColumn="0" w:lastRowFirstColumn="0" w:lastRowLastColumn="0"/>
              <w:rPr>
                <w:rFonts w:eastAsia="Times New Roman"/>
                <w:sz w:val="16"/>
                <w:szCs w:val="16"/>
              </w:rPr>
            </w:pPr>
            <w:r>
              <w:rPr>
                <w:rFonts w:eastAsia="Times New Roman"/>
                <w:sz w:val="16"/>
                <w:szCs w:val="16"/>
              </w:rPr>
              <w:t>31</w:t>
            </w:r>
            <w:r w:rsidR="00505A13" w:rsidRPr="005E53F2">
              <w:rPr>
                <w:rFonts w:eastAsia="Times New Roman"/>
                <w:sz w:val="16"/>
                <w:szCs w:val="16"/>
              </w:rPr>
              <w:t>/</w:t>
            </w:r>
            <w:r>
              <w:rPr>
                <w:rFonts w:eastAsia="Times New Roman"/>
                <w:sz w:val="16"/>
                <w:szCs w:val="16"/>
              </w:rPr>
              <w:t>01</w:t>
            </w:r>
            <w:r w:rsidR="00505A13" w:rsidRPr="005E53F2">
              <w:rPr>
                <w:rFonts w:eastAsia="Times New Roman"/>
                <w:sz w:val="16"/>
                <w:szCs w:val="16"/>
              </w:rPr>
              <w:t>/201</w:t>
            </w:r>
            <w:r>
              <w:rPr>
                <w:rFonts w:eastAsia="Times New Roman"/>
                <w:sz w:val="16"/>
                <w:szCs w:val="16"/>
              </w:rPr>
              <w:t>8</w:t>
            </w:r>
          </w:p>
        </w:tc>
        <w:tc>
          <w:tcPr>
            <w:tcW w:w="1057" w:type="dxa"/>
            <w:noWrap/>
            <w:hideMark/>
          </w:tcPr>
          <w:p w:rsidR="00505A13" w:rsidRPr="005E53F2" w:rsidRDefault="008D1630" w:rsidP="008D1630">
            <w:pPr>
              <w:jc w:val="center"/>
              <w:cnfStyle w:val="000000010000" w:firstRow="0" w:lastRow="0" w:firstColumn="0" w:lastColumn="0" w:oddVBand="0" w:evenVBand="0" w:oddHBand="0" w:evenHBand="1" w:firstRowFirstColumn="0" w:firstRowLastColumn="0" w:lastRowFirstColumn="0" w:lastRowLastColumn="0"/>
              <w:rPr>
                <w:rFonts w:eastAsia="Times New Roman"/>
                <w:sz w:val="16"/>
                <w:szCs w:val="16"/>
              </w:rPr>
            </w:pPr>
            <w:r>
              <w:rPr>
                <w:rFonts w:eastAsia="Times New Roman"/>
                <w:sz w:val="16"/>
                <w:szCs w:val="16"/>
              </w:rPr>
              <w:t>01</w:t>
            </w:r>
            <w:r w:rsidR="00505A13" w:rsidRPr="005E53F2">
              <w:rPr>
                <w:rFonts w:eastAsia="Times New Roman"/>
                <w:sz w:val="16"/>
                <w:szCs w:val="16"/>
              </w:rPr>
              <w:t>/</w:t>
            </w:r>
            <w:r>
              <w:rPr>
                <w:rFonts w:eastAsia="Times New Roman"/>
                <w:sz w:val="16"/>
                <w:szCs w:val="16"/>
              </w:rPr>
              <w:t>02</w:t>
            </w:r>
            <w:r w:rsidR="00505A13" w:rsidRPr="005E53F2">
              <w:rPr>
                <w:rFonts w:eastAsia="Times New Roman"/>
                <w:sz w:val="16"/>
                <w:szCs w:val="16"/>
              </w:rPr>
              <w:t>/</w:t>
            </w:r>
            <w:r>
              <w:rPr>
                <w:rFonts w:eastAsia="Times New Roman"/>
                <w:sz w:val="16"/>
                <w:szCs w:val="16"/>
              </w:rPr>
              <w:t>2018</w:t>
            </w:r>
          </w:p>
        </w:tc>
        <w:tc>
          <w:tcPr>
            <w:tcW w:w="1057" w:type="dxa"/>
            <w:noWrap/>
            <w:hideMark/>
          </w:tcPr>
          <w:p w:rsidR="00505A13" w:rsidRPr="005E53F2" w:rsidRDefault="008D1630" w:rsidP="00505A13">
            <w:pPr>
              <w:jc w:val="center"/>
              <w:cnfStyle w:val="000000010000" w:firstRow="0" w:lastRow="0" w:firstColumn="0" w:lastColumn="0" w:oddVBand="0" w:evenVBand="0" w:oddHBand="0" w:evenHBand="1" w:firstRowFirstColumn="0" w:firstRowLastColumn="0" w:lastRowFirstColumn="0" w:lastRowLastColumn="0"/>
              <w:rPr>
                <w:rFonts w:eastAsia="Times New Roman"/>
                <w:sz w:val="16"/>
                <w:szCs w:val="16"/>
              </w:rPr>
            </w:pPr>
            <w:r>
              <w:rPr>
                <w:rFonts w:eastAsia="Times New Roman"/>
                <w:sz w:val="16"/>
                <w:szCs w:val="16"/>
              </w:rPr>
              <w:t>31/01/2019</w:t>
            </w:r>
          </w:p>
        </w:tc>
        <w:tc>
          <w:tcPr>
            <w:tcW w:w="1823" w:type="dxa"/>
            <w:hideMark/>
          </w:tcPr>
          <w:p w:rsidR="00505A13" w:rsidRPr="00A134FE" w:rsidRDefault="00505A13" w:rsidP="00505A13">
            <w:pPr>
              <w:jc w:val="center"/>
              <w:cnfStyle w:val="000000010000" w:firstRow="0" w:lastRow="0" w:firstColumn="0" w:lastColumn="0" w:oddVBand="0" w:evenVBand="0" w:oddHBand="0" w:evenHBand="1" w:firstRowFirstColumn="0" w:firstRowLastColumn="0" w:lastRowFirstColumn="0" w:lastRowLastColumn="0"/>
              <w:rPr>
                <w:rFonts w:eastAsia="Times New Roman"/>
                <w:sz w:val="14"/>
                <w:szCs w:val="14"/>
              </w:rPr>
            </w:pPr>
            <w:r w:rsidRPr="00A134FE">
              <w:rPr>
                <w:rFonts w:eastAsia="Times New Roman"/>
                <w:sz w:val="14"/>
                <w:szCs w:val="14"/>
              </w:rPr>
              <w:t>Programadas en la vigencia 2019 para el periodo 2016-2017</w:t>
            </w:r>
          </w:p>
        </w:tc>
      </w:tr>
      <w:tr w:rsidR="00505A13" w:rsidRPr="005E53F2" w:rsidTr="00505A13">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163" w:type="dxa"/>
            <w:noWrap/>
            <w:hideMark/>
          </w:tcPr>
          <w:p w:rsidR="00505A13" w:rsidRPr="005E53F2" w:rsidRDefault="008D1630" w:rsidP="00505A13">
            <w:pPr>
              <w:rPr>
                <w:rFonts w:eastAsia="Times New Roman"/>
                <w:b w:val="0"/>
                <w:sz w:val="16"/>
                <w:szCs w:val="16"/>
              </w:rPr>
            </w:pPr>
            <w:r>
              <w:rPr>
                <w:rFonts w:eastAsia="Times New Roman"/>
                <w:b w:val="0"/>
                <w:sz w:val="16"/>
                <w:szCs w:val="16"/>
              </w:rPr>
              <w:t>SALGUERO LILIAN</w:t>
            </w:r>
          </w:p>
        </w:tc>
        <w:tc>
          <w:tcPr>
            <w:tcW w:w="1057" w:type="dxa"/>
            <w:noWrap/>
            <w:hideMark/>
          </w:tcPr>
          <w:p w:rsidR="00505A13" w:rsidRPr="005E53F2" w:rsidRDefault="008D1630" w:rsidP="008D1630">
            <w:pPr>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Pr>
                <w:rFonts w:eastAsia="Times New Roman"/>
                <w:sz w:val="16"/>
                <w:szCs w:val="16"/>
              </w:rPr>
              <w:t>01</w:t>
            </w:r>
            <w:r w:rsidR="00505A13" w:rsidRPr="005E53F2">
              <w:rPr>
                <w:rFonts w:eastAsia="Times New Roman"/>
                <w:sz w:val="16"/>
                <w:szCs w:val="16"/>
              </w:rPr>
              <w:t>/</w:t>
            </w:r>
            <w:r>
              <w:rPr>
                <w:rFonts w:eastAsia="Times New Roman"/>
                <w:sz w:val="16"/>
                <w:szCs w:val="16"/>
              </w:rPr>
              <w:t>01</w:t>
            </w:r>
            <w:r w:rsidR="00505A13" w:rsidRPr="005E53F2">
              <w:rPr>
                <w:rFonts w:eastAsia="Times New Roman"/>
                <w:sz w:val="16"/>
                <w:szCs w:val="16"/>
              </w:rPr>
              <w:t>/2016</w:t>
            </w:r>
          </w:p>
        </w:tc>
        <w:tc>
          <w:tcPr>
            <w:tcW w:w="1057" w:type="dxa"/>
            <w:noWrap/>
            <w:hideMark/>
          </w:tcPr>
          <w:p w:rsidR="00505A13" w:rsidRPr="005E53F2" w:rsidRDefault="008D1630" w:rsidP="008D1630">
            <w:pPr>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Pr>
                <w:rFonts w:eastAsia="Times New Roman"/>
                <w:sz w:val="16"/>
                <w:szCs w:val="16"/>
              </w:rPr>
              <w:t>31</w:t>
            </w:r>
            <w:r w:rsidR="00505A13" w:rsidRPr="005E53F2">
              <w:rPr>
                <w:rFonts w:eastAsia="Times New Roman"/>
                <w:sz w:val="16"/>
                <w:szCs w:val="16"/>
              </w:rPr>
              <w:t>/1</w:t>
            </w:r>
            <w:r>
              <w:rPr>
                <w:rFonts w:eastAsia="Times New Roman"/>
                <w:sz w:val="16"/>
                <w:szCs w:val="16"/>
              </w:rPr>
              <w:t>2</w:t>
            </w:r>
            <w:r w:rsidR="00505A13" w:rsidRPr="005E53F2">
              <w:rPr>
                <w:rFonts w:eastAsia="Times New Roman"/>
                <w:sz w:val="16"/>
                <w:szCs w:val="16"/>
              </w:rPr>
              <w:t>/2017</w:t>
            </w:r>
          </w:p>
        </w:tc>
        <w:tc>
          <w:tcPr>
            <w:tcW w:w="1057" w:type="dxa"/>
            <w:noWrap/>
            <w:hideMark/>
          </w:tcPr>
          <w:p w:rsidR="00505A13" w:rsidRPr="005E53F2" w:rsidRDefault="008D1630" w:rsidP="008D1630">
            <w:pPr>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Pr>
                <w:rFonts w:eastAsia="Times New Roman"/>
                <w:sz w:val="16"/>
                <w:szCs w:val="16"/>
              </w:rPr>
              <w:t>01</w:t>
            </w:r>
            <w:r w:rsidR="00505A13" w:rsidRPr="005E53F2">
              <w:rPr>
                <w:rFonts w:eastAsia="Times New Roman"/>
                <w:sz w:val="16"/>
                <w:szCs w:val="16"/>
              </w:rPr>
              <w:t>/</w:t>
            </w:r>
            <w:r>
              <w:rPr>
                <w:rFonts w:eastAsia="Times New Roman"/>
                <w:sz w:val="16"/>
                <w:szCs w:val="16"/>
              </w:rPr>
              <w:t>01/2017</w:t>
            </w:r>
          </w:p>
        </w:tc>
        <w:tc>
          <w:tcPr>
            <w:tcW w:w="1057" w:type="dxa"/>
            <w:noWrap/>
            <w:hideMark/>
          </w:tcPr>
          <w:p w:rsidR="00505A13" w:rsidRPr="005E53F2" w:rsidRDefault="008D1630" w:rsidP="00505A13">
            <w:pPr>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Pr>
                <w:rFonts w:eastAsia="Times New Roman"/>
                <w:sz w:val="16"/>
                <w:szCs w:val="16"/>
              </w:rPr>
              <w:t>31/12</w:t>
            </w:r>
            <w:r w:rsidR="00505A13" w:rsidRPr="005E53F2">
              <w:rPr>
                <w:rFonts w:eastAsia="Times New Roman"/>
                <w:sz w:val="16"/>
                <w:szCs w:val="16"/>
              </w:rPr>
              <w:t>/2018</w:t>
            </w:r>
          </w:p>
        </w:tc>
        <w:tc>
          <w:tcPr>
            <w:tcW w:w="1823" w:type="dxa"/>
            <w:hideMark/>
          </w:tcPr>
          <w:p w:rsidR="00505A13" w:rsidRPr="00A134FE" w:rsidRDefault="00505A13" w:rsidP="00505A13">
            <w:pPr>
              <w:jc w:val="center"/>
              <w:cnfStyle w:val="000000100000" w:firstRow="0" w:lastRow="0" w:firstColumn="0" w:lastColumn="0" w:oddVBand="0" w:evenVBand="0" w:oddHBand="1" w:evenHBand="0" w:firstRowFirstColumn="0" w:firstRowLastColumn="0" w:lastRowFirstColumn="0" w:lastRowLastColumn="0"/>
              <w:rPr>
                <w:rFonts w:eastAsia="Times New Roman"/>
                <w:sz w:val="14"/>
                <w:szCs w:val="14"/>
              </w:rPr>
            </w:pPr>
            <w:r w:rsidRPr="00A134FE">
              <w:rPr>
                <w:rFonts w:eastAsia="Times New Roman"/>
                <w:sz w:val="14"/>
                <w:szCs w:val="14"/>
              </w:rPr>
              <w:t>Programadas en la vigencia 2019 para el periodo 2016-2017</w:t>
            </w:r>
          </w:p>
        </w:tc>
      </w:tr>
    </w:tbl>
    <w:p w:rsidR="007C7F95" w:rsidRDefault="007C7F95" w:rsidP="007C7F95">
      <w:pPr>
        <w:adjustRightInd w:val="0"/>
        <w:jc w:val="both"/>
        <w:rPr>
          <w:rFonts w:eastAsia="Calibri"/>
        </w:rPr>
      </w:pPr>
    </w:p>
    <w:p w:rsidR="00CC53BF" w:rsidRDefault="00CC53BF" w:rsidP="007C7F95">
      <w:pPr>
        <w:adjustRightInd w:val="0"/>
        <w:jc w:val="both"/>
        <w:rPr>
          <w:rFonts w:eastAsia="Calibri"/>
        </w:rPr>
      </w:pPr>
    </w:p>
    <w:p w:rsidR="00BB667E" w:rsidRDefault="006542D2" w:rsidP="00BB667E">
      <w:pPr>
        <w:widowControl/>
        <w:adjustRightInd w:val="0"/>
        <w:spacing w:after="200"/>
        <w:ind w:left="284"/>
        <w:jc w:val="both"/>
        <w:rPr>
          <w:rFonts w:eastAsia="Calibri"/>
          <w:b/>
        </w:rPr>
      </w:pPr>
      <w:r w:rsidRPr="006542D2">
        <w:rPr>
          <w:rFonts w:eastAsia="Calibri"/>
          <w:b/>
        </w:rPr>
        <w:t>5.4.</w:t>
      </w:r>
      <w:r>
        <w:rPr>
          <w:rFonts w:eastAsia="Calibri"/>
          <w:b/>
        </w:rPr>
        <w:t xml:space="preserve">  </w:t>
      </w:r>
      <w:r w:rsidRPr="009B4B87">
        <w:rPr>
          <w:rFonts w:eastAsia="Calibri"/>
          <w:b/>
        </w:rPr>
        <w:t>Viáticos y Gastos de Viaje</w:t>
      </w:r>
    </w:p>
    <w:p w:rsidR="00072B65" w:rsidRPr="00072B65" w:rsidRDefault="00072B65" w:rsidP="00BB667E">
      <w:pPr>
        <w:widowControl/>
        <w:adjustRightInd w:val="0"/>
        <w:spacing w:after="200"/>
        <w:ind w:left="284"/>
        <w:jc w:val="both"/>
      </w:pPr>
      <w:r w:rsidRPr="00072B65">
        <w:t>Por este rubro se le reconoce a los </w:t>
      </w:r>
      <w:r>
        <w:t>empleados públicos y</w:t>
      </w:r>
      <w:r w:rsidRPr="00072B65">
        <w:t xml:space="preserve"> según lo contratado, </w:t>
      </w:r>
      <w:r>
        <w:t>a los trabajadores oficiales de la entidad</w:t>
      </w:r>
      <w:r w:rsidRPr="00072B65">
        <w:t>, los gastos de alojamiento, alimentación y transporte, cuando previa resolución, deban desempeñar funciones en lugar diferente de su sede habitual de trabajo.</w:t>
      </w:r>
    </w:p>
    <w:p w:rsidR="00072B65" w:rsidRDefault="00072B65" w:rsidP="00072B65">
      <w:pPr>
        <w:widowControl/>
        <w:adjustRightInd w:val="0"/>
        <w:spacing w:after="200"/>
        <w:ind w:left="284"/>
        <w:jc w:val="both"/>
      </w:pPr>
      <w:r>
        <w:t xml:space="preserve">El </w:t>
      </w:r>
      <w:r w:rsidR="001E52E1">
        <w:t>objeto de los viáticos</w:t>
      </w:r>
      <w:r>
        <w:t xml:space="preserve"> es</w:t>
      </w:r>
      <w:r w:rsidR="00A737BB">
        <w:t xml:space="preserve"> compensar al empleado, al trabajador los gastos generados por el desplazamiento temporal del lugar donde trabaja </w:t>
      </w:r>
      <w:r w:rsidR="001D78B2">
        <w:t xml:space="preserve">para ir a otro sitio a cumplir una función laboral, donde tiene que soportar costos adicionales de alojamiento y alimentación básicamente. </w:t>
      </w:r>
    </w:p>
    <w:p w:rsidR="002643F0" w:rsidRDefault="00E96D20" w:rsidP="00BB667E">
      <w:pPr>
        <w:widowControl/>
        <w:adjustRightInd w:val="0"/>
        <w:spacing w:after="200"/>
        <w:ind w:left="284"/>
        <w:jc w:val="both"/>
      </w:pPr>
      <w:r>
        <w:t>La definición antes mencionada forma parte de los considerandos de la resolución inter</w:t>
      </w:r>
      <w:r w:rsidR="002B793C">
        <w:t>na 051</w:t>
      </w:r>
      <w:r>
        <w:t xml:space="preserve"> de</w:t>
      </w:r>
      <w:r w:rsidR="002B793C">
        <w:t>l 08 de febrero</w:t>
      </w:r>
      <w:r>
        <w:t xml:space="preserve"> 201</w:t>
      </w:r>
      <w:r w:rsidR="002B793C">
        <w:t>9</w:t>
      </w:r>
      <w:r>
        <w:t xml:space="preserve"> </w:t>
      </w:r>
      <w:r w:rsidR="002B793C">
        <w:t>por</w:t>
      </w:r>
      <w:r>
        <w:t xml:space="preserve"> la cual se reglamenta el sistema de comisión de servicios y reconocimiento de viáticos</w:t>
      </w:r>
      <w:r w:rsidR="002B793C">
        <w:t xml:space="preserve"> y se adopta la escala de viáticos </w:t>
      </w:r>
      <w:r>
        <w:t>para los servidores públicos de la Lotería Santander</w:t>
      </w:r>
      <w:r w:rsidR="00284278">
        <w:t>, los</w:t>
      </w:r>
      <w:r w:rsidR="002643F0">
        <w:t xml:space="preserve"> cuales </w:t>
      </w:r>
      <w:r w:rsidR="00EB198C">
        <w:t xml:space="preserve">para el </w:t>
      </w:r>
      <w:r w:rsidR="002B793C">
        <w:t>segundo trimestre de la vigencia 2019</w:t>
      </w:r>
      <w:r w:rsidR="00EB198C">
        <w:t xml:space="preserve"> </w:t>
      </w:r>
      <w:r w:rsidR="002643F0">
        <w:t>se ejecuta</w:t>
      </w:r>
      <w:r w:rsidR="00EB198C">
        <w:t>ron</w:t>
      </w:r>
      <w:r w:rsidR="002B793C">
        <w:t xml:space="preserve"> con cargo al</w:t>
      </w:r>
      <w:r w:rsidR="0082213B">
        <w:t xml:space="preserve"> siguiente rubro</w:t>
      </w:r>
      <w:r w:rsidR="002643F0">
        <w:t>:</w:t>
      </w:r>
    </w:p>
    <w:p w:rsidR="002643F0" w:rsidRDefault="002643F0" w:rsidP="00284278">
      <w:pPr>
        <w:pStyle w:val="Prrafodelista"/>
        <w:widowControl/>
        <w:numPr>
          <w:ilvl w:val="0"/>
          <w:numId w:val="8"/>
        </w:numPr>
        <w:adjustRightInd w:val="0"/>
        <w:ind w:left="1003" w:hanging="357"/>
        <w:jc w:val="both"/>
      </w:pPr>
      <w:r>
        <w:t xml:space="preserve">Rubro </w:t>
      </w:r>
      <w:r w:rsidR="00284278">
        <w:t>0320030109 Viáticos y Gastos de Viaje</w:t>
      </w:r>
    </w:p>
    <w:tbl>
      <w:tblPr>
        <w:tblW w:w="6945" w:type="dxa"/>
        <w:jc w:val="center"/>
        <w:tblInd w:w="1845" w:type="dxa"/>
        <w:tblCellMar>
          <w:left w:w="70" w:type="dxa"/>
          <w:right w:w="70" w:type="dxa"/>
        </w:tblCellMar>
        <w:tblLook w:val="04A0" w:firstRow="1" w:lastRow="0" w:firstColumn="1" w:lastColumn="0" w:noHBand="0" w:noVBand="1"/>
      </w:tblPr>
      <w:tblGrid>
        <w:gridCol w:w="1355"/>
        <w:gridCol w:w="3605"/>
        <w:gridCol w:w="1985"/>
      </w:tblGrid>
      <w:tr w:rsidR="001710D1" w:rsidRPr="001710D1" w:rsidTr="00505A13">
        <w:trPr>
          <w:trHeight w:val="675"/>
          <w:jc w:val="center"/>
        </w:trPr>
        <w:tc>
          <w:tcPr>
            <w:tcW w:w="496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710D1" w:rsidRPr="001710D1" w:rsidRDefault="001710D1" w:rsidP="001710D1">
            <w:pPr>
              <w:widowControl/>
              <w:autoSpaceDE/>
              <w:autoSpaceDN/>
              <w:jc w:val="center"/>
              <w:rPr>
                <w:rFonts w:eastAsia="Times New Roman"/>
                <w:b/>
                <w:bCs/>
                <w:color w:val="000000"/>
                <w:sz w:val="18"/>
                <w:lang w:bidi="ar-SA"/>
              </w:rPr>
            </w:pPr>
            <w:r w:rsidRPr="001710D1">
              <w:rPr>
                <w:rFonts w:eastAsia="Times New Roman"/>
                <w:b/>
                <w:bCs/>
                <w:color w:val="000000"/>
                <w:sz w:val="18"/>
                <w:lang w:bidi="ar-SA"/>
              </w:rPr>
              <w:t>RUBRO</w:t>
            </w:r>
          </w:p>
        </w:tc>
        <w:tc>
          <w:tcPr>
            <w:tcW w:w="198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710D1" w:rsidRPr="001710D1" w:rsidRDefault="00B1303C" w:rsidP="001710D1">
            <w:pPr>
              <w:widowControl/>
              <w:autoSpaceDE/>
              <w:autoSpaceDN/>
              <w:jc w:val="center"/>
              <w:rPr>
                <w:rFonts w:eastAsia="Times New Roman"/>
                <w:b/>
                <w:bCs/>
                <w:color w:val="000000"/>
                <w:sz w:val="18"/>
                <w:lang w:bidi="ar-SA"/>
              </w:rPr>
            </w:pPr>
            <w:r>
              <w:rPr>
                <w:rFonts w:eastAsia="Times New Roman"/>
                <w:b/>
                <w:bCs/>
                <w:color w:val="000000"/>
                <w:sz w:val="18"/>
                <w:lang w:bidi="ar-SA"/>
              </w:rPr>
              <w:t>Segundo</w:t>
            </w:r>
            <w:r>
              <w:rPr>
                <w:rFonts w:eastAsia="Times New Roman"/>
                <w:b/>
                <w:bCs/>
                <w:color w:val="000000"/>
                <w:sz w:val="18"/>
                <w:lang w:bidi="ar-SA"/>
              </w:rPr>
              <w:br/>
              <w:t xml:space="preserve"> trimestre 2019</w:t>
            </w:r>
          </w:p>
        </w:tc>
      </w:tr>
      <w:tr w:rsidR="001710D1" w:rsidRPr="001710D1" w:rsidTr="001710D1">
        <w:trPr>
          <w:trHeight w:val="300"/>
          <w:jc w:val="center"/>
        </w:trPr>
        <w:tc>
          <w:tcPr>
            <w:tcW w:w="1355" w:type="dxa"/>
            <w:tcBorders>
              <w:top w:val="nil"/>
              <w:left w:val="single" w:sz="4" w:space="0" w:color="auto"/>
              <w:bottom w:val="single" w:sz="4" w:space="0" w:color="auto"/>
              <w:right w:val="single" w:sz="4" w:space="0" w:color="auto"/>
            </w:tcBorders>
            <w:vAlign w:val="center"/>
          </w:tcPr>
          <w:p w:rsidR="001710D1" w:rsidRPr="001710D1" w:rsidRDefault="001710D1" w:rsidP="001710D1">
            <w:pPr>
              <w:widowControl/>
              <w:autoSpaceDE/>
              <w:autoSpaceDN/>
              <w:rPr>
                <w:rFonts w:eastAsia="Times New Roman"/>
                <w:color w:val="000000"/>
                <w:sz w:val="18"/>
                <w:lang w:bidi="ar-SA"/>
              </w:rPr>
            </w:pPr>
            <w:r w:rsidRPr="001710D1">
              <w:rPr>
                <w:sz w:val="18"/>
              </w:rPr>
              <w:t>0320030109</w:t>
            </w:r>
          </w:p>
        </w:tc>
        <w:tc>
          <w:tcPr>
            <w:tcW w:w="3605" w:type="dxa"/>
            <w:tcBorders>
              <w:top w:val="nil"/>
              <w:left w:val="single" w:sz="4" w:space="0" w:color="auto"/>
              <w:bottom w:val="single" w:sz="4" w:space="0" w:color="auto"/>
              <w:right w:val="single" w:sz="4" w:space="0" w:color="auto"/>
            </w:tcBorders>
            <w:shd w:val="clear" w:color="auto" w:fill="auto"/>
            <w:noWrap/>
            <w:vAlign w:val="center"/>
            <w:hideMark/>
          </w:tcPr>
          <w:p w:rsidR="001710D1" w:rsidRPr="001710D1" w:rsidRDefault="001710D1" w:rsidP="001710D1">
            <w:pPr>
              <w:widowControl/>
              <w:autoSpaceDE/>
              <w:autoSpaceDN/>
              <w:rPr>
                <w:rFonts w:eastAsia="Times New Roman"/>
                <w:color w:val="000000"/>
                <w:sz w:val="18"/>
                <w:szCs w:val="18"/>
                <w:lang w:bidi="ar-SA"/>
              </w:rPr>
            </w:pPr>
            <w:r w:rsidRPr="001710D1">
              <w:rPr>
                <w:rFonts w:eastAsia="Times New Roman"/>
                <w:color w:val="000000"/>
                <w:sz w:val="18"/>
                <w:szCs w:val="18"/>
                <w:lang w:bidi="ar-SA"/>
              </w:rPr>
              <w:t>Viáticos y Gastos de Viaje</w:t>
            </w:r>
          </w:p>
        </w:tc>
        <w:tc>
          <w:tcPr>
            <w:tcW w:w="1985" w:type="dxa"/>
            <w:tcBorders>
              <w:top w:val="nil"/>
              <w:left w:val="nil"/>
              <w:bottom w:val="single" w:sz="4" w:space="0" w:color="auto"/>
              <w:right w:val="single" w:sz="4" w:space="0" w:color="auto"/>
            </w:tcBorders>
            <w:shd w:val="clear" w:color="auto" w:fill="auto"/>
            <w:noWrap/>
            <w:vAlign w:val="center"/>
            <w:hideMark/>
          </w:tcPr>
          <w:p w:rsidR="001710D1" w:rsidRPr="001710D1" w:rsidRDefault="00977936" w:rsidP="001710D1">
            <w:pPr>
              <w:widowControl/>
              <w:autoSpaceDE/>
              <w:autoSpaceDN/>
              <w:jc w:val="right"/>
              <w:rPr>
                <w:rFonts w:eastAsia="Times New Roman"/>
                <w:color w:val="000000"/>
                <w:sz w:val="18"/>
                <w:lang w:bidi="ar-SA"/>
              </w:rPr>
            </w:pPr>
            <w:r w:rsidRPr="00977936">
              <w:rPr>
                <w:rFonts w:eastAsia="Times New Roman"/>
                <w:color w:val="000000"/>
                <w:sz w:val="18"/>
                <w:lang w:bidi="ar-SA"/>
              </w:rPr>
              <w:t>8</w:t>
            </w:r>
            <w:r>
              <w:rPr>
                <w:rFonts w:eastAsia="Times New Roman"/>
                <w:color w:val="000000"/>
                <w:sz w:val="18"/>
                <w:lang w:bidi="ar-SA"/>
              </w:rPr>
              <w:t>.</w:t>
            </w:r>
            <w:r w:rsidRPr="00977936">
              <w:rPr>
                <w:rFonts w:eastAsia="Times New Roman"/>
                <w:color w:val="000000"/>
                <w:sz w:val="18"/>
                <w:lang w:bidi="ar-SA"/>
              </w:rPr>
              <w:t>517</w:t>
            </w:r>
            <w:r>
              <w:rPr>
                <w:rFonts w:eastAsia="Times New Roman"/>
                <w:color w:val="000000"/>
                <w:sz w:val="18"/>
                <w:lang w:bidi="ar-SA"/>
              </w:rPr>
              <w:t>.</w:t>
            </w:r>
            <w:r w:rsidRPr="00977936">
              <w:rPr>
                <w:rFonts w:eastAsia="Times New Roman"/>
                <w:color w:val="000000"/>
                <w:sz w:val="18"/>
                <w:lang w:bidi="ar-SA"/>
              </w:rPr>
              <w:t>226</w:t>
            </w:r>
          </w:p>
        </w:tc>
      </w:tr>
    </w:tbl>
    <w:p w:rsidR="000A1755" w:rsidRDefault="000A1755" w:rsidP="00BB667E">
      <w:pPr>
        <w:widowControl/>
        <w:adjustRightInd w:val="0"/>
        <w:spacing w:after="200"/>
        <w:ind w:left="284"/>
        <w:jc w:val="both"/>
        <w:rPr>
          <w:rFonts w:eastAsia="Calibri"/>
        </w:rPr>
      </w:pPr>
    </w:p>
    <w:p w:rsidR="00A224A1" w:rsidRDefault="00A224A1" w:rsidP="00BB667E">
      <w:pPr>
        <w:widowControl/>
        <w:adjustRightInd w:val="0"/>
        <w:spacing w:after="200"/>
        <w:ind w:left="284"/>
        <w:jc w:val="both"/>
        <w:rPr>
          <w:rFonts w:eastAsia="Calibri"/>
        </w:rPr>
      </w:pPr>
    </w:p>
    <w:p w:rsidR="007C7F95" w:rsidRDefault="00F873CB" w:rsidP="00BB667E">
      <w:pPr>
        <w:widowControl/>
        <w:adjustRightInd w:val="0"/>
        <w:spacing w:after="200"/>
        <w:ind w:left="284"/>
        <w:jc w:val="both"/>
      </w:pPr>
      <w:r w:rsidRPr="000A1755">
        <w:rPr>
          <w:rFonts w:eastAsia="Calibri"/>
        </w:rPr>
        <w:t xml:space="preserve">Teniendo en cuenta lo anterior, el gasto total por concepto de viáticos y gastos de viaje </w:t>
      </w:r>
      <w:r w:rsidR="006542D2" w:rsidRPr="000A1755">
        <w:rPr>
          <w:rFonts w:eastAsia="Calibri"/>
        </w:rPr>
        <w:t xml:space="preserve"> </w:t>
      </w:r>
      <w:r w:rsidR="00632028" w:rsidRPr="000A1755">
        <w:rPr>
          <w:rFonts w:eastAsia="Calibri"/>
        </w:rPr>
        <w:t xml:space="preserve">durante el </w:t>
      </w:r>
      <w:r w:rsidR="00977936">
        <w:rPr>
          <w:rFonts w:eastAsia="Calibri"/>
        </w:rPr>
        <w:t>segundo</w:t>
      </w:r>
      <w:r w:rsidR="00632028" w:rsidRPr="000A1755">
        <w:rPr>
          <w:rFonts w:eastAsia="Calibri"/>
        </w:rPr>
        <w:t xml:space="preserve"> trimestre de la vigencia</w:t>
      </w:r>
      <w:r w:rsidR="006542D2" w:rsidRPr="000A1755">
        <w:rPr>
          <w:rFonts w:eastAsia="Calibri"/>
        </w:rPr>
        <w:t xml:space="preserve"> </w:t>
      </w:r>
      <w:r w:rsidR="00C7758A" w:rsidRPr="000A1755">
        <w:rPr>
          <w:rFonts w:eastAsia="Calibri"/>
        </w:rPr>
        <w:t>201</w:t>
      </w:r>
      <w:r w:rsidR="00977936">
        <w:rPr>
          <w:rFonts w:eastAsia="Calibri"/>
        </w:rPr>
        <w:t>9</w:t>
      </w:r>
      <w:r w:rsidR="00C7758A" w:rsidRPr="000A1755">
        <w:rPr>
          <w:rFonts w:eastAsia="Calibri"/>
        </w:rPr>
        <w:t xml:space="preserve"> </w:t>
      </w:r>
      <w:r w:rsidR="006542D2" w:rsidRPr="000A1755">
        <w:rPr>
          <w:rFonts w:eastAsia="Calibri"/>
        </w:rPr>
        <w:t xml:space="preserve">fue </w:t>
      </w:r>
      <w:r w:rsidR="006542D2" w:rsidRPr="00977936">
        <w:rPr>
          <w:rFonts w:eastAsia="Calibri"/>
        </w:rPr>
        <w:t>de $</w:t>
      </w:r>
      <w:r w:rsidR="00632028" w:rsidRPr="00977936">
        <w:t xml:space="preserve"> </w:t>
      </w:r>
      <w:r w:rsidR="00977936" w:rsidRPr="00977936">
        <w:t>8</w:t>
      </w:r>
      <w:r w:rsidR="000A1755" w:rsidRPr="00977936">
        <w:t>.</w:t>
      </w:r>
      <w:r w:rsidR="00977936" w:rsidRPr="00977936">
        <w:t>517</w:t>
      </w:r>
      <w:r w:rsidR="000A1755" w:rsidRPr="00977936">
        <w:t>.</w:t>
      </w:r>
      <w:r w:rsidR="00977936" w:rsidRPr="00977936">
        <w:t>226</w:t>
      </w:r>
    </w:p>
    <w:tbl>
      <w:tblPr>
        <w:tblW w:w="8930" w:type="dxa"/>
        <w:tblInd w:w="354" w:type="dxa"/>
        <w:tblLayout w:type="fixed"/>
        <w:tblCellMar>
          <w:left w:w="70" w:type="dxa"/>
          <w:right w:w="70" w:type="dxa"/>
        </w:tblCellMar>
        <w:tblLook w:val="04A0" w:firstRow="1" w:lastRow="0" w:firstColumn="1" w:lastColumn="0" w:noHBand="0" w:noVBand="1"/>
      </w:tblPr>
      <w:tblGrid>
        <w:gridCol w:w="1678"/>
        <w:gridCol w:w="1299"/>
        <w:gridCol w:w="1275"/>
        <w:gridCol w:w="1276"/>
        <w:gridCol w:w="1559"/>
        <w:gridCol w:w="1843"/>
      </w:tblGrid>
      <w:tr w:rsidR="00B43457" w:rsidRPr="00432F2E" w:rsidTr="00C7758A">
        <w:trPr>
          <w:trHeight w:val="466"/>
        </w:trPr>
        <w:tc>
          <w:tcPr>
            <w:tcW w:w="1678"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B43457" w:rsidRPr="00432F2E" w:rsidRDefault="00B43457" w:rsidP="00432F2E">
            <w:pPr>
              <w:widowControl/>
              <w:autoSpaceDE/>
              <w:autoSpaceDN/>
              <w:jc w:val="center"/>
              <w:rPr>
                <w:rFonts w:eastAsia="Times New Roman"/>
                <w:b/>
                <w:bCs/>
                <w:color w:val="000000"/>
                <w:sz w:val="18"/>
                <w:szCs w:val="18"/>
                <w:lang w:bidi="ar-SA"/>
              </w:rPr>
            </w:pPr>
            <w:r w:rsidRPr="00432F2E">
              <w:rPr>
                <w:rFonts w:eastAsia="Times New Roman"/>
                <w:b/>
                <w:bCs/>
                <w:color w:val="000000"/>
                <w:sz w:val="18"/>
                <w:szCs w:val="18"/>
                <w:lang w:bidi="ar-SA"/>
              </w:rPr>
              <w:t>Concepto</w:t>
            </w:r>
          </w:p>
        </w:tc>
        <w:tc>
          <w:tcPr>
            <w:tcW w:w="1299" w:type="dxa"/>
            <w:tcBorders>
              <w:top w:val="single" w:sz="8" w:space="0" w:color="auto"/>
              <w:left w:val="nil"/>
              <w:bottom w:val="single" w:sz="8" w:space="0" w:color="auto"/>
              <w:right w:val="single" w:sz="8" w:space="0" w:color="auto"/>
            </w:tcBorders>
            <w:shd w:val="clear" w:color="000000" w:fill="B8CCE4"/>
            <w:vAlign w:val="center"/>
            <w:hideMark/>
          </w:tcPr>
          <w:p w:rsidR="00B43457" w:rsidRDefault="00B43457">
            <w:pPr>
              <w:jc w:val="center"/>
              <w:rPr>
                <w:b/>
                <w:bCs/>
                <w:color w:val="000000"/>
                <w:sz w:val="18"/>
                <w:szCs w:val="18"/>
              </w:rPr>
            </w:pPr>
            <w:r>
              <w:rPr>
                <w:b/>
                <w:bCs/>
                <w:color w:val="000000"/>
                <w:sz w:val="18"/>
                <w:szCs w:val="18"/>
              </w:rPr>
              <w:t>Segundo trimestre 2017</w:t>
            </w:r>
          </w:p>
        </w:tc>
        <w:tc>
          <w:tcPr>
            <w:tcW w:w="1275" w:type="dxa"/>
            <w:tcBorders>
              <w:top w:val="single" w:sz="8" w:space="0" w:color="auto"/>
              <w:left w:val="nil"/>
              <w:bottom w:val="single" w:sz="8" w:space="0" w:color="auto"/>
              <w:right w:val="single" w:sz="8" w:space="0" w:color="auto"/>
            </w:tcBorders>
            <w:shd w:val="clear" w:color="000000" w:fill="B8CCE4"/>
            <w:vAlign w:val="center"/>
            <w:hideMark/>
          </w:tcPr>
          <w:p w:rsidR="00B43457" w:rsidRDefault="00B43457">
            <w:pPr>
              <w:jc w:val="center"/>
              <w:rPr>
                <w:b/>
                <w:bCs/>
                <w:color w:val="000000"/>
                <w:sz w:val="18"/>
                <w:szCs w:val="18"/>
              </w:rPr>
            </w:pPr>
            <w:r>
              <w:rPr>
                <w:b/>
                <w:bCs/>
                <w:color w:val="000000"/>
                <w:sz w:val="18"/>
                <w:szCs w:val="18"/>
              </w:rPr>
              <w:t>Segundo trimestre 2018</w:t>
            </w:r>
          </w:p>
        </w:tc>
        <w:tc>
          <w:tcPr>
            <w:tcW w:w="1276" w:type="dxa"/>
            <w:tcBorders>
              <w:top w:val="single" w:sz="8" w:space="0" w:color="auto"/>
              <w:left w:val="nil"/>
              <w:bottom w:val="single" w:sz="8" w:space="0" w:color="auto"/>
              <w:right w:val="single" w:sz="8" w:space="0" w:color="auto"/>
            </w:tcBorders>
            <w:shd w:val="clear" w:color="000000" w:fill="B8CCE4"/>
            <w:vAlign w:val="center"/>
            <w:hideMark/>
          </w:tcPr>
          <w:p w:rsidR="00B43457" w:rsidRDefault="00B43457">
            <w:pPr>
              <w:jc w:val="center"/>
              <w:rPr>
                <w:b/>
                <w:bCs/>
                <w:color w:val="000000"/>
                <w:sz w:val="18"/>
                <w:szCs w:val="18"/>
              </w:rPr>
            </w:pPr>
            <w:r>
              <w:rPr>
                <w:b/>
                <w:bCs/>
                <w:color w:val="000000"/>
                <w:sz w:val="18"/>
                <w:szCs w:val="18"/>
              </w:rPr>
              <w:t>Segundo trimestre 2019</w:t>
            </w:r>
          </w:p>
        </w:tc>
        <w:tc>
          <w:tcPr>
            <w:tcW w:w="1559" w:type="dxa"/>
            <w:vMerge w:val="restart"/>
            <w:tcBorders>
              <w:top w:val="single" w:sz="8" w:space="0" w:color="auto"/>
              <w:left w:val="single" w:sz="8" w:space="0" w:color="auto"/>
              <w:bottom w:val="single" w:sz="8" w:space="0" w:color="000000"/>
              <w:right w:val="nil"/>
            </w:tcBorders>
            <w:shd w:val="clear" w:color="000000" w:fill="B8CCE4"/>
            <w:vAlign w:val="center"/>
            <w:hideMark/>
          </w:tcPr>
          <w:p w:rsidR="00B43457" w:rsidRDefault="00B43457">
            <w:pPr>
              <w:jc w:val="center"/>
              <w:rPr>
                <w:b/>
                <w:bCs/>
                <w:color w:val="000000"/>
                <w:sz w:val="18"/>
                <w:szCs w:val="18"/>
              </w:rPr>
            </w:pPr>
            <w:r>
              <w:rPr>
                <w:b/>
                <w:bCs/>
                <w:color w:val="000000"/>
                <w:sz w:val="18"/>
                <w:szCs w:val="18"/>
              </w:rPr>
              <w:t xml:space="preserve">Variación </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B43457" w:rsidRDefault="00B43457">
            <w:pPr>
              <w:jc w:val="center"/>
              <w:rPr>
                <w:b/>
                <w:bCs/>
                <w:color w:val="000000"/>
                <w:sz w:val="18"/>
                <w:szCs w:val="18"/>
              </w:rPr>
            </w:pPr>
            <w:r>
              <w:rPr>
                <w:b/>
                <w:bCs/>
                <w:color w:val="000000"/>
                <w:sz w:val="18"/>
                <w:szCs w:val="18"/>
              </w:rPr>
              <w:t>Variación porcentual</w:t>
            </w:r>
          </w:p>
        </w:tc>
      </w:tr>
      <w:tr w:rsidR="00B43457" w:rsidRPr="00432F2E" w:rsidTr="00C7758A">
        <w:trPr>
          <w:trHeight w:val="297"/>
        </w:trPr>
        <w:tc>
          <w:tcPr>
            <w:tcW w:w="1678" w:type="dxa"/>
            <w:vMerge/>
            <w:tcBorders>
              <w:top w:val="single" w:sz="8" w:space="0" w:color="auto"/>
              <w:left w:val="single" w:sz="8" w:space="0" w:color="auto"/>
              <w:bottom w:val="single" w:sz="8" w:space="0" w:color="000000"/>
              <w:right w:val="single" w:sz="8" w:space="0" w:color="auto"/>
            </w:tcBorders>
            <w:vAlign w:val="center"/>
            <w:hideMark/>
          </w:tcPr>
          <w:p w:rsidR="00B43457" w:rsidRPr="00432F2E" w:rsidRDefault="00B43457" w:rsidP="00432F2E">
            <w:pPr>
              <w:widowControl/>
              <w:autoSpaceDE/>
              <w:autoSpaceDN/>
              <w:rPr>
                <w:rFonts w:eastAsia="Times New Roman"/>
                <w:b/>
                <w:bCs/>
                <w:color w:val="000000"/>
                <w:sz w:val="18"/>
                <w:szCs w:val="18"/>
                <w:lang w:bidi="ar-SA"/>
              </w:rPr>
            </w:pPr>
          </w:p>
        </w:tc>
        <w:tc>
          <w:tcPr>
            <w:tcW w:w="1299" w:type="dxa"/>
            <w:tcBorders>
              <w:top w:val="nil"/>
              <w:left w:val="nil"/>
              <w:bottom w:val="single" w:sz="8" w:space="0" w:color="auto"/>
              <w:right w:val="single" w:sz="8" w:space="0" w:color="auto"/>
            </w:tcBorders>
            <w:shd w:val="clear" w:color="000000" w:fill="B8CCE4"/>
            <w:vAlign w:val="center"/>
            <w:hideMark/>
          </w:tcPr>
          <w:p w:rsidR="00B43457" w:rsidRPr="00432F2E" w:rsidRDefault="00B43457" w:rsidP="00432F2E">
            <w:pPr>
              <w:widowControl/>
              <w:autoSpaceDE/>
              <w:autoSpaceDN/>
              <w:jc w:val="center"/>
              <w:rPr>
                <w:rFonts w:eastAsia="Times New Roman"/>
                <w:b/>
                <w:bCs/>
                <w:color w:val="000000"/>
                <w:sz w:val="18"/>
                <w:szCs w:val="18"/>
                <w:lang w:bidi="ar-SA"/>
              </w:rPr>
            </w:pPr>
            <w:r>
              <w:rPr>
                <w:b/>
                <w:bCs/>
                <w:color w:val="000000"/>
                <w:sz w:val="18"/>
                <w:szCs w:val="18"/>
              </w:rPr>
              <w:t>Valor</w:t>
            </w:r>
          </w:p>
        </w:tc>
        <w:tc>
          <w:tcPr>
            <w:tcW w:w="1275" w:type="dxa"/>
            <w:tcBorders>
              <w:top w:val="nil"/>
              <w:left w:val="nil"/>
              <w:bottom w:val="single" w:sz="8" w:space="0" w:color="auto"/>
              <w:right w:val="single" w:sz="8" w:space="0" w:color="auto"/>
            </w:tcBorders>
            <w:shd w:val="clear" w:color="000000" w:fill="B8CCE4"/>
            <w:vAlign w:val="center"/>
            <w:hideMark/>
          </w:tcPr>
          <w:p w:rsidR="00B43457" w:rsidRPr="00432F2E" w:rsidRDefault="00B43457" w:rsidP="00432F2E">
            <w:pPr>
              <w:widowControl/>
              <w:autoSpaceDE/>
              <w:autoSpaceDN/>
              <w:jc w:val="center"/>
              <w:rPr>
                <w:rFonts w:eastAsia="Times New Roman"/>
                <w:b/>
                <w:bCs/>
                <w:color w:val="000000"/>
                <w:sz w:val="18"/>
                <w:szCs w:val="18"/>
                <w:lang w:bidi="ar-SA"/>
              </w:rPr>
            </w:pPr>
            <w:r>
              <w:rPr>
                <w:b/>
                <w:bCs/>
                <w:color w:val="000000"/>
                <w:sz w:val="18"/>
                <w:szCs w:val="18"/>
              </w:rPr>
              <w:t>Valor</w:t>
            </w:r>
          </w:p>
        </w:tc>
        <w:tc>
          <w:tcPr>
            <w:tcW w:w="1276" w:type="dxa"/>
            <w:tcBorders>
              <w:top w:val="nil"/>
              <w:left w:val="nil"/>
              <w:bottom w:val="single" w:sz="8" w:space="0" w:color="auto"/>
              <w:right w:val="single" w:sz="8" w:space="0" w:color="auto"/>
            </w:tcBorders>
            <w:shd w:val="clear" w:color="000000" w:fill="B8CCE4"/>
            <w:vAlign w:val="center"/>
            <w:hideMark/>
          </w:tcPr>
          <w:p w:rsidR="00B43457" w:rsidRPr="00432F2E" w:rsidRDefault="00B43457" w:rsidP="00432F2E">
            <w:pPr>
              <w:widowControl/>
              <w:autoSpaceDE/>
              <w:autoSpaceDN/>
              <w:jc w:val="center"/>
              <w:rPr>
                <w:rFonts w:eastAsia="Times New Roman"/>
                <w:b/>
                <w:bCs/>
                <w:color w:val="000000"/>
                <w:sz w:val="18"/>
                <w:szCs w:val="18"/>
                <w:lang w:bidi="ar-SA"/>
              </w:rPr>
            </w:pPr>
            <w:r>
              <w:rPr>
                <w:b/>
                <w:bCs/>
                <w:color w:val="000000"/>
                <w:sz w:val="18"/>
                <w:szCs w:val="18"/>
              </w:rPr>
              <w:t>Valor</w:t>
            </w:r>
          </w:p>
        </w:tc>
        <w:tc>
          <w:tcPr>
            <w:tcW w:w="1559" w:type="dxa"/>
            <w:vMerge/>
            <w:tcBorders>
              <w:top w:val="single" w:sz="8" w:space="0" w:color="auto"/>
              <w:left w:val="single" w:sz="8" w:space="0" w:color="auto"/>
              <w:bottom w:val="single" w:sz="8" w:space="0" w:color="000000"/>
              <w:right w:val="nil"/>
            </w:tcBorders>
            <w:vAlign w:val="center"/>
            <w:hideMark/>
          </w:tcPr>
          <w:p w:rsidR="00B43457" w:rsidRPr="00432F2E" w:rsidRDefault="00B43457" w:rsidP="00432F2E">
            <w:pPr>
              <w:widowControl/>
              <w:autoSpaceDE/>
              <w:autoSpaceDN/>
              <w:rPr>
                <w:rFonts w:eastAsia="Times New Roman"/>
                <w:b/>
                <w:bCs/>
                <w:color w:val="000000"/>
                <w:sz w:val="18"/>
                <w:szCs w:val="18"/>
                <w:lang w:bidi="ar-SA"/>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B43457" w:rsidRPr="00432F2E" w:rsidRDefault="00B43457" w:rsidP="00432F2E">
            <w:pPr>
              <w:widowControl/>
              <w:autoSpaceDE/>
              <w:autoSpaceDN/>
              <w:rPr>
                <w:rFonts w:eastAsia="Times New Roman"/>
                <w:b/>
                <w:bCs/>
                <w:color w:val="000000"/>
                <w:sz w:val="18"/>
                <w:szCs w:val="18"/>
                <w:lang w:bidi="ar-SA"/>
              </w:rPr>
            </w:pPr>
          </w:p>
        </w:tc>
      </w:tr>
      <w:tr w:rsidR="00B43457" w:rsidRPr="00432F2E" w:rsidTr="00B43457">
        <w:trPr>
          <w:trHeight w:val="297"/>
        </w:trPr>
        <w:tc>
          <w:tcPr>
            <w:tcW w:w="1678" w:type="dxa"/>
            <w:tcBorders>
              <w:top w:val="nil"/>
              <w:left w:val="single" w:sz="8" w:space="0" w:color="auto"/>
              <w:bottom w:val="single" w:sz="8" w:space="0" w:color="auto"/>
              <w:right w:val="single" w:sz="8" w:space="0" w:color="auto"/>
            </w:tcBorders>
            <w:shd w:val="clear" w:color="auto" w:fill="auto"/>
            <w:noWrap/>
            <w:vAlign w:val="center"/>
            <w:hideMark/>
          </w:tcPr>
          <w:p w:rsidR="00B43457" w:rsidRPr="00432F2E" w:rsidRDefault="00B43457" w:rsidP="00432F2E">
            <w:pPr>
              <w:widowControl/>
              <w:autoSpaceDE/>
              <w:autoSpaceDN/>
              <w:jc w:val="center"/>
              <w:rPr>
                <w:rFonts w:eastAsia="Times New Roman"/>
                <w:color w:val="000000"/>
                <w:sz w:val="18"/>
                <w:szCs w:val="18"/>
                <w:lang w:bidi="ar-SA"/>
              </w:rPr>
            </w:pPr>
            <w:r w:rsidRPr="00432F2E">
              <w:rPr>
                <w:rFonts w:eastAsia="Times New Roman"/>
                <w:color w:val="000000"/>
                <w:sz w:val="18"/>
                <w:szCs w:val="18"/>
                <w:lang w:bidi="ar-SA"/>
              </w:rPr>
              <w:t>Viáticos y Gastos de Viaje</w:t>
            </w:r>
          </w:p>
        </w:tc>
        <w:tc>
          <w:tcPr>
            <w:tcW w:w="1299" w:type="dxa"/>
            <w:tcBorders>
              <w:top w:val="nil"/>
              <w:left w:val="nil"/>
              <w:bottom w:val="single" w:sz="8" w:space="0" w:color="auto"/>
              <w:right w:val="single" w:sz="8" w:space="0" w:color="auto"/>
            </w:tcBorders>
            <w:shd w:val="clear" w:color="auto" w:fill="auto"/>
            <w:vAlign w:val="center"/>
            <w:hideMark/>
          </w:tcPr>
          <w:p w:rsidR="00B43457" w:rsidRDefault="00B43457" w:rsidP="00B43457">
            <w:pPr>
              <w:jc w:val="center"/>
              <w:rPr>
                <w:color w:val="000000"/>
                <w:sz w:val="18"/>
                <w:szCs w:val="18"/>
              </w:rPr>
            </w:pPr>
            <w:r>
              <w:rPr>
                <w:color w:val="000000"/>
                <w:sz w:val="18"/>
                <w:szCs w:val="18"/>
              </w:rPr>
              <w:t>14.443.244</w:t>
            </w:r>
          </w:p>
        </w:tc>
        <w:tc>
          <w:tcPr>
            <w:tcW w:w="1275" w:type="dxa"/>
            <w:tcBorders>
              <w:top w:val="nil"/>
              <w:left w:val="nil"/>
              <w:bottom w:val="single" w:sz="8" w:space="0" w:color="auto"/>
              <w:right w:val="single" w:sz="8" w:space="0" w:color="auto"/>
            </w:tcBorders>
            <w:shd w:val="clear" w:color="auto" w:fill="auto"/>
            <w:vAlign w:val="center"/>
            <w:hideMark/>
          </w:tcPr>
          <w:p w:rsidR="00B43457" w:rsidRDefault="00B43457" w:rsidP="00B43457">
            <w:pPr>
              <w:jc w:val="center"/>
              <w:rPr>
                <w:color w:val="000000"/>
                <w:sz w:val="18"/>
                <w:szCs w:val="18"/>
              </w:rPr>
            </w:pPr>
            <w:r>
              <w:rPr>
                <w:color w:val="000000"/>
                <w:sz w:val="18"/>
                <w:szCs w:val="18"/>
              </w:rPr>
              <w:t>33.492.843</w:t>
            </w:r>
          </w:p>
        </w:tc>
        <w:tc>
          <w:tcPr>
            <w:tcW w:w="1276" w:type="dxa"/>
            <w:tcBorders>
              <w:top w:val="nil"/>
              <w:left w:val="nil"/>
              <w:bottom w:val="single" w:sz="8" w:space="0" w:color="auto"/>
              <w:right w:val="single" w:sz="8" w:space="0" w:color="auto"/>
            </w:tcBorders>
            <w:shd w:val="clear" w:color="auto" w:fill="auto"/>
            <w:vAlign w:val="center"/>
            <w:hideMark/>
          </w:tcPr>
          <w:p w:rsidR="00B43457" w:rsidRDefault="00B43457" w:rsidP="00B43457">
            <w:pPr>
              <w:jc w:val="center"/>
              <w:rPr>
                <w:rFonts w:ascii="Calibri" w:hAnsi="Calibri"/>
                <w:color w:val="000000"/>
              </w:rPr>
            </w:pPr>
            <w:r>
              <w:rPr>
                <w:rFonts w:ascii="Calibri" w:hAnsi="Calibri"/>
                <w:color w:val="000000"/>
              </w:rPr>
              <w:t>8.517.226</w:t>
            </w:r>
          </w:p>
        </w:tc>
        <w:tc>
          <w:tcPr>
            <w:tcW w:w="1559" w:type="dxa"/>
            <w:tcBorders>
              <w:top w:val="nil"/>
              <w:left w:val="nil"/>
              <w:bottom w:val="single" w:sz="8" w:space="0" w:color="auto"/>
              <w:right w:val="nil"/>
            </w:tcBorders>
            <w:shd w:val="clear" w:color="auto" w:fill="auto"/>
            <w:noWrap/>
            <w:vAlign w:val="center"/>
          </w:tcPr>
          <w:p w:rsidR="00B43457" w:rsidRDefault="00B43457" w:rsidP="00B43457">
            <w:pPr>
              <w:jc w:val="center"/>
              <w:rPr>
                <w:rFonts w:ascii="Calibri" w:hAnsi="Calibri"/>
                <w:color w:val="000000"/>
              </w:rPr>
            </w:pPr>
            <w:r>
              <w:rPr>
                <w:rFonts w:ascii="Calibri" w:hAnsi="Calibri"/>
                <w:color w:val="000000"/>
              </w:rPr>
              <w:t>-24.975.617</w:t>
            </w:r>
          </w:p>
        </w:tc>
        <w:tc>
          <w:tcPr>
            <w:tcW w:w="1843" w:type="dxa"/>
            <w:tcBorders>
              <w:top w:val="nil"/>
              <w:left w:val="single" w:sz="8" w:space="0" w:color="auto"/>
              <w:bottom w:val="single" w:sz="8" w:space="0" w:color="auto"/>
              <w:right w:val="single" w:sz="8" w:space="0" w:color="auto"/>
            </w:tcBorders>
            <w:shd w:val="clear" w:color="auto" w:fill="auto"/>
            <w:noWrap/>
            <w:vAlign w:val="center"/>
          </w:tcPr>
          <w:p w:rsidR="00B43457" w:rsidRDefault="00B43457" w:rsidP="00B43457">
            <w:pPr>
              <w:jc w:val="center"/>
              <w:rPr>
                <w:color w:val="000000"/>
                <w:sz w:val="18"/>
                <w:szCs w:val="18"/>
              </w:rPr>
            </w:pPr>
            <w:r>
              <w:rPr>
                <w:color w:val="000000"/>
                <w:sz w:val="18"/>
                <w:szCs w:val="18"/>
              </w:rPr>
              <w:t>-74,57%</w:t>
            </w:r>
          </w:p>
        </w:tc>
      </w:tr>
    </w:tbl>
    <w:p w:rsidR="00432F2E" w:rsidRPr="006542D2" w:rsidRDefault="00432F2E" w:rsidP="0014227F">
      <w:pPr>
        <w:adjustRightInd w:val="0"/>
        <w:ind w:left="284"/>
        <w:jc w:val="both"/>
        <w:rPr>
          <w:rFonts w:eastAsia="Calibri"/>
          <w:b/>
        </w:rPr>
      </w:pPr>
    </w:p>
    <w:p w:rsidR="004A6569" w:rsidRDefault="00EA16F4" w:rsidP="004A6569">
      <w:pPr>
        <w:widowControl/>
        <w:adjustRightInd w:val="0"/>
        <w:spacing w:after="200"/>
        <w:ind w:left="284"/>
        <w:jc w:val="both"/>
        <w:rPr>
          <w:rFonts w:eastAsia="Calibri"/>
          <w:b/>
        </w:rPr>
      </w:pPr>
      <w:r>
        <w:t xml:space="preserve">Para el </w:t>
      </w:r>
      <w:r w:rsidR="00B43457">
        <w:t>segundo</w:t>
      </w:r>
      <w:r>
        <w:t xml:space="preserve"> trimestre de la vigencia 201</w:t>
      </w:r>
      <w:r w:rsidR="00B43457">
        <w:t>9</w:t>
      </w:r>
      <w:r>
        <w:t xml:space="preserve"> se evidencia</w:t>
      </w:r>
      <w:r w:rsidR="00B43457">
        <w:t xml:space="preserve"> una disminución </w:t>
      </w:r>
      <w:r>
        <w:t>en los gastos por el</w:t>
      </w:r>
      <w:r w:rsidR="004A6569">
        <w:t xml:space="preserve"> concepto </w:t>
      </w:r>
      <w:r w:rsidRPr="00EA16F4">
        <w:t>Viáticos y Gastos de Viaje</w:t>
      </w:r>
      <w:r>
        <w:t xml:space="preserve"> </w:t>
      </w:r>
      <w:r w:rsidR="006A5B1C">
        <w:t>con respecto al mismo periodo de la vigencia 201</w:t>
      </w:r>
      <w:r w:rsidR="00B43457">
        <w:t>8.</w:t>
      </w:r>
    </w:p>
    <w:p w:rsidR="004A6569" w:rsidRDefault="004A6569" w:rsidP="004A6569">
      <w:pPr>
        <w:pStyle w:val="Textoindependiente"/>
        <w:ind w:left="284"/>
        <w:jc w:val="both"/>
        <w:rPr>
          <w:rFonts w:eastAsia="Calibri"/>
        </w:rPr>
      </w:pPr>
      <w:r>
        <w:rPr>
          <w:rFonts w:eastAsia="Calibri"/>
        </w:rPr>
        <w:t>S</w:t>
      </w:r>
      <w:r w:rsidRPr="00C7758A">
        <w:rPr>
          <w:rFonts w:eastAsia="Calibri"/>
        </w:rPr>
        <w:t xml:space="preserve">e </w:t>
      </w:r>
      <w:r>
        <w:rPr>
          <w:rFonts w:eastAsia="Calibri"/>
        </w:rPr>
        <w:t xml:space="preserve">presenta a continuación una gráfica comparativa de los últimos </w:t>
      </w:r>
      <w:r w:rsidRPr="00C7758A">
        <w:rPr>
          <w:rFonts w:eastAsia="Calibri"/>
        </w:rPr>
        <w:t>c</w:t>
      </w:r>
      <w:r>
        <w:rPr>
          <w:rFonts w:eastAsia="Calibri"/>
        </w:rPr>
        <w:t xml:space="preserve">inco trimestres de </w:t>
      </w:r>
      <w:r w:rsidRPr="00C7758A">
        <w:rPr>
          <w:rFonts w:eastAsia="Calibri"/>
        </w:rPr>
        <w:t>la</w:t>
      </w:r>
      <w:r>
        <w:rPr>
          <w:rFonts w:eastAsia="Calibri"/>
        </w:rPr>
        <w:t>s</w:t>
      </w:r>
      <w:r w:rsidRPr="00C7758A">
        <w:rPr>
          <w:rFonts w:eastAsia="Calibri"/>
        </w:rPr>
        <w:t xml:space="preserve"> vigencia</w:t>
      </w:r>
      <w:r>
        <w:rPr>
          <w:rFonts w:eastAsia="Calibri"/>
        </w:rPr>
        <w:t>s</w:t>
      </w:r>
      <w:r w:rsidRPr="00C7758A">
        <w:rPr>
          <w:rFonts w:eastAsia="Calibri"/>
        </w:rPr>
        <w:t xml:space="preserve"> 201</w:t>
      </w:r>
      <w:r w:rsidR="00B43457">
        <w:rPr>
          <w:rFonts w:eastAsia="Calibri"/>
        </w:rPr>
        <w:t>8</w:t>
      </w:r>
      <w:r>
        <w:rPr>
          <w:rFonts w:eastAsia="Calibri"/>
        </w:rPr>
        <w:t xml:space="preserve"> y 201</w:t>
      </w:r>
      <w:r w:rsidR="00B43457">
        <w:rPr>
          <w:rFonts w:eastAsia="Calibri"/>
        </w:rPr>
        <w:t>9</w:t>
      </w:r>
      <w:r>
        <w:rPr>
          <w:rFonts w:eastAsia="Calibri"/>
        </w:rPr>
        <w:t>:</w:t>
      </w:r>
    </w:p>
    <w:p w:rsidR="00DD03EF" w:rsidRDefault="00DD03EF" w:rsidP="004A6569">
      <w:pPr>
        <w:pStyle w:val="Textoindependiente"/>
        <w:ind w:left="284"/>
        <w:jc w:val="both"/>
        <w:rPr>
          <w:rFonts w:eastAsia="Calibri"/>
        </w:rPr>
      </w:pPr>
    </w:p>
    <w:p w:rsidR="00E37FA8" w:rsidRDefault="00E37FA8" w:rsidP="00C7758A">
      <w:pPr>
        <w:pStyle w:val="Textoindependiente"/>
        <w:ind w:left="284"/>
        <w:jc w:val="both"/>
        <w:rPr>
          <w:rFonts w:eastAsia="Calibri"/>
        </w:rPr>
      </w:pPr>
    </w:p>
    <w:p w:rsidR="006054D6" w:rsidRDefault="00B43457" w:rsidP="00B43457">
      <w:pPr>
        <w:pStyle w:val="Textoindependiente"/>
        <w:ind w:left="284"/>
        <w:jc w:val="center"/>
        <w:rPr>
          <w:rFonts w:eastAsia="Calibri"/>
        </w:rPr>
      </w:pPr>
      <w:r>
        <w:rPr>
          <w:noProof/>
          <w:lang w:bidi="ar-SA"/>
        </w:rPr>
        <w:drawing>
          <wp:inline distT="0" distB="0" distL="0" distR="0" wp14:anchorId="3891E286" wp14:editId="13B3404E">
            <wp:extent cx="5457825" cy="2933700"/>
            <wp:effectExtent l="0" t="0" r="9525"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0141" w:rsidRPr="00FE016C" w:rsidRDefault="00700141" w:rsidP="00700141">
      <w:pPr>
        <w:pStyle w:val="Ttulo1"/>
        <w:tabs>
          <w:tab w:val="left" w:pos="586"/>
          <w:tab w:val="left" w:pos="1276"/>
        </w:tabs>
        <w:spacing w:line="276" w:lineRule="auto"/>
        <w:ind w:left="0" w:right="505"/>
        <w:jc w:val="center"/>
        <w:rPr>
          <w:sz w:val="20"/>
        </w:rPr>
      </w:pPr>
      <w:r w:rsidRPr="00966CAB">
        <w:rPr>
          <w:sz w:val="18"/>
        </w:rPr>
        <w:t xml:space="preserve">Fuente: </w:t>
      </w:r>
      <w:r>
        <w:rPr>
          <w:sz w:val="18"/>
        </w:rPr>
        <w:t>Ejecución presupuestal</w:t>
      </w:r>
      <w:r w:rsidRPr="00966CAB">
        <w:rPr>
          <w:sz w:val="18"/>
        </w:rPr>
        <w:t xml:space="preserve"> </w:t>
      </w:r>
      <w:r w:rsidR="006054D6">
        <w:rPr>
          <w:sz w:val="18"/>
        </w:rPr>
        <w:t>– Listado de Auxiliares de Cuenta por Tercero</w:t>
      </w:r>
      <w:r w:rsidRPr="00966CAB">
        <w:rPr>
          <w:sz w:val="18"/>
        </w:rPr>
        <w:t xml:space="preserve"> Subgerencia </w:t>
      </w:r>
      <w:r w:rsidR="00B43457">
        <w:rPr>
          <w:sz w:val="18"/>
        </w:rPr>
        <w:t>F</w:t>
      </w:r>
      <w:r>
        <w:rPr>
          <w:sz w:val="18"/>
        </w:rPr>
        <w:t>inanciera</w:t>
      </w:r>
    </w:p>
    <w:p w:rsidR="006054D6" w:rsidRDefault="006054D6" w:rsidP="005665A7">
      <w:pPr>
        <w:pStyle w:val="Textoindependiente"/>
        <w:spacing w:before="6"/>
        <w:ind w:left="284"/>
        <w:jc w:val="both"/>
        <w:rPr>
          <w:rFonts w:eastAsia="Calibri"/>
        </w:rPr>
      </w:pPr>
    </w:p>
    <w:p w:rsidR="004E1A63" w:rsidRDefault="008D1F39" w:rsidP="005665A7">
      <w:pPr>
        <w:pStyle w:val="Textoindependiente"/>
        <w:spacing w:before="6"/>
        <w:ind w:left="284"/>
        <w:jc w:val="both"/>
        <w:rPr>
          <w:rFonts w:eastAsia="Calibri"/>
        </w:rPr>
      </w:pPr>
      <w:r>
        <w:rPr>
          <w:rFonts w:eastAsia="Calibri"/>
        </w:rPr>
        <w:t>Se evidencia que los</w:t>
      </w:r>
      <w:r w:rsidR="00335DF9">
        <w:rPr>
          <w:rFonts w:eastAsia="Calibri"/>
        </w:rPr>
        <w:t xml:space="preserve"> gasto</w:t>
      </w:r>
      <w:r>
        <w:rPr>
          <w:rFonts w:eastAsia="Calibri"/>
        </w:rPr>
        <w:t>s</w:t>
      </w:r>
      <w:r w:rsidR="00335DF9">
        <w:rPr>
          <w:rFonts w:eastAsia="Calibri"/>
        </w:rPr>
        <w:t xml:space="preserve"> de viáticos y gastos de viaje </w:t>
      </w:r>
      <w:r w:rsidR="00B43457">
        <w:rPr>
          <w:rFonts w:eastAsia="Calibri"/>
        </w:rPr>
        <w:t>durante el segundo trimestre de la vigencia 2019</w:t>
      </w:r>
      <w:r w:rsidR="00335DF9">
        <w:rPr>
          <w:rFonts w:eastAsia="Calibri"/>
        </w:rPr>
        <w:t xml:space="preserve"> </w:t>
      </w:r>
      <w:r w:rsidR="00EB43F0">
        <w:rPr>
          <w:rFonts w:eastAsia="Calibri"/>
        </w:rPr>
        <w:t>se redujeron c</w:t>
      </w:r>
      <w:r w:rsidR="00B43457">
        <w:rPr>
          <w:rFonts w:eastAsia="Calibri"/>
        </w:rPr>
        <w:t>on respecto a</w:t>
      </w:r>
      <w:r w:rsidR="00EB43F0">
        <w:rPr>
          <w:rFonts w:eastAsia="Calibri"/>
        </w:rPr>
        <w:t xml:space="preserve">l primer </w:t>
      </w:r>
      <w:r w:rsidR="00335DF9">
        <w:rPr>
          <w:rFonts w:eastAsia="Calibri"/>
        </w:rPr>
        <w:t>trimestre</w:t>
      </w:r>
      <w:r w:rsidR="00EB43F0">
        <w:rPr>
          <w:rFonts w:eastAsia="Calibri"/>
        </w:rPr>
        <w:t xml:space="preserve"> de la misma vigencia</w:t>
      </w:r>
      <w:r w:rsidR="00335DF9">
        <w:rPr>
          <w:rFonts w:eastAsia="Calibri"/>
        </w:rPr>
        <w:t>, lo cual</w:t>
      </w:r>
      <w:r w:rsidR="00C93AFD" w:rsidRPr="0021578C">
        <w:rPr>
          <w:rFonts w:eastAsia="Calibri"/>
        </w:rPr>
        <w:t xml:space="preserve"> </w:t>
      </w:r>
      <w:r>
        <w:rPr>
          <w:rFonts w:eastAsia="Calibri"/>
        </w:rPr>
        <w:t xml:space="preserve">puede </w:t>
      </w:r>
      <w:r w:rsidR="00927061">
        <w:rPr>
          <w:rFonts w:eastAsia="Calibri"/>
        </w:rPr>
        <w:t>obedece</w:t>
      </w:r>
      <w:r>
        <w:rPr>
          <w:rFonts w:eastAsia="Calibri"/>
        </w:rPr>
        <w:t>r</w:t>
      </w:r>
      <w:r w:rsidR="00EB1DF1">
        <w:t xml:space="preserve"> principalmente </w:t>
      </w:r>
      <w:r w:rsidR="001F7495">
        <w:t>a</w:t>
      </w:r>
      <w:r w:rsidR="00EB43F0">
        <w:t xml:space="preserve"> que no se han realizado</w:t>
      </w:r>
      <w:r w:rsidR="00B06E85">
        <w:t xml:space="preserve"> campaña</w:t>
      </w:r>
      <w:r w:rsidR="00EB43F0">
        <w:t>s</w:t>
      </w:r>
      <w:r w:rsidR="00B06E85">
        <w:t xml:space="preserve"> comercial</w:t>
      </w:r>
      <w:r w:rsidR="00EB43F0">
        <w:t>es</w:t>
      </w:r>
      <w:r w:rsidR="00BF1785">
        <w:t xml:space="preserve"> </w:t>
      </w:r>
      <w:r>
        <w:t xml:space="preserve">por el área de mercadeo </w:t>
      </w:r>
      <w:r w:rsidR="00BF1785">
        <w:t>en la</w:t>
      </w:r>
      <w:r>
        <w:t>s diferentes ciudades del país</w:t>
      </w:r>
      <w:r w:rsidRPr="009F7FB1">
        <w:rPr>
          <w:rFonts w:eastAsia="Calibri"/>
        </w:rPr>
        <w:t>,</w:t>
      </w:r>
      <w:r w:rsidR="001620EC">
        <w:rPr>
          <w:rFonts w:eastAsia="Calibri"/>
        </w:rPr>
        <w:t xml:space="preserve"> y los gastos que se evidencian</w:t>
      </w:r>
      <w:r w:rsidR="00BF1785" w:rsidRPr="009F7FB1">
        <w:rPr>
          <w:rFonts w:eastAsia="Calibri"/>
        </w:rPr>
        <w:t xml:space="preserve"> </w:t>
      </w:r>
      <w:r w:rsidR="001620EC">
        <w:rPr>
          <w:rFonts w:eastAsia="Calibri"/>
        </w:rPr>
        <w:t>corresponden a</w:t>
      </w:r>
      <w:r w:rsidRPr="009F7FB1">
        <w:rPr>
          <w:rFonts w:eastAsia="Calibri"/>
        </w:rPr>
        <w:t xml:space="preserve"> las visitas en misión oficial a</w:t>
      </w:r>
      <w:r w:rsidR="00EB1DF1" w:rsidRPr="009F7FB1">
        <w:rPr>
          <w:rFonts w:eastAsia="Calibri"/>
        </w:rPr>
        <w:t xml:space="preserve"> </w:t>
      </w:r>
      <w:proofErr w:type="spellStart"/>
      <w:r w:rsidR="00EB1DF1" w:rsidRPr="009F7FB1">
        <w:rPr>
          <w:rFonts w:eastAsia="Calibri"/>
        </w:rPr>
        <w:t>Coljuegos</w:t>
      </w:r>
      <w:proofErr w:type="spellEnd"/>
      <w:r w:rsidR="00EB1DF1" w:rsidRPr="009F7FB1">
        <w:rPr>
          <w:rFonts w:eastAsia="Calibri"/>
        </w:rPr>
        <w:t>, Consejo Nacional de Ju</w:t>
      </w:r>
      <w:r w:rsidRPr="009F7FB1">
        <w:rPr>
          <w:rFonts w:eastAsia="Calibri"/>
        </w:rPr>
        <w:t xml:space="preserve">egos de Suerte y Azar y </w:t>
      </w:r>
      <w:proofErr w:type="spellStart"/>
      <w:r w:rsidRPr="009F7FB1">
        <w:rPr>
          <w:rFonts w:eastAsia="Calibri"/>
        </w:rPr>
        <w:t>Fedelco</w:t>
      </w:r>
      <w:proofErr w:type="spellEnd"/>
      <w:r w:rsidR="001620EC">
        <w:rPr>
          <w:rFonts w:eastAsia="Calibri"/>
        </w:rPr>
        <w:t xml:space="preserve"> y asuntos de jurídicos en otras ciudades</w:t>
      </w:r>
      <w:r w:rsidRPr="009F7FB1">
        <w:rPr>
          <w:rFonts w:eastAsia="Calibri"/>
        </w:rPr>
        <w:t>.</w:t>
      </w:r>
    </w:p>
    <w:p w:rsidR="00A42B14" w:rsidRDefault="00A42B14" w:rsidP="005665A7">
      <w:pPr>
        <w:pStyle w:val="Textoindependiente"/>
        <w:spacing w:before="6"/>
        <w:ind w:left="284"/>
        <w:jc w:val="both"/>
        <w:rPr>
          <w:rFonts w:eastAsia="Calibri"/>
        </w:rPr>
      </w:pPr>
    </w:p>
    <w:p w:rsidR="00A42B14" w:rsidRDefault="00A42B14" w:rsidP="005665A7">
      <w:pPr>
        <w:pStyle w:val="Textoindependiente"/>
        <w:spacing w:before="6"/>
        <w:ind w:left="284"/>
        <w:jc w:val="both"/>
        <w:rPr>
          <w:rFonts w:eastAsia="Calibri"/>
        </w:rPr>
      </w:pPr>
    </w:p>
    <w:p w:rsidR="0014227F" w:rsidRDefault="0014227F" w:rsidP="00335DF9">
      <w:pPr>
        <w:pStyle w:val="Textoindependiente"/>
        <w:spacing w:before="6"/>
        <w:ind w:left="284"/>
        <w:rPr>
          <w:rFonts w:eastAsia="Calibri"/>
        </w:rPr>
      </w:pPr>
    </w:p>
    <w:p w:rsidR="00A224A1" w:rsidRDefault="00A224A1" w:rsidP="00335DF9">
      <w:pPr>
        <w:pStyle w:val="Textoindependiente"/>
        <w:spacing w:before="6"/>
        <w:ind w:left="284"/>
        <w:rPr>
          <w:rFonts w:eastAsia="Calibri"/>
        </w:rPr>
      </w:pPr>
    </w:p>
    <w:p w:rsidR="0014227F" w:rsidRPr="0021578C" w:rsidRDefault="0014227F">
      <w:pPr>
        <w:pStyle w:val="Textoindependiente"/>
        <w:spacing w:before="6"/>
        <w:rPr>
          <w:rFonts w:eastAsia="Calibri"/>
        </w:rPr>
      </w:pPr>
    </w:p>
    <w:p w:rsidR="00D3757C" w:rsidRDefault="00CB4616" w:rsidP="00F20A2E">
      <w:pPr>
        <w:pStyle w:val="Ttulo1"/>
        <w:numPr>
          <w:ilvl w:val="0"/>
          <w:numId w:val="1"/>
        </w:numPr>
        <w:tabs>
          <w:tab w:val="left" w:pos="729"/>
          <w:tab w:val="left" w:pos="730"/>
        </w:tabs>
        <w:ind w:left="729" w:right="114" w:hanging="427"/>
      </w:pPr>
      <w:r>
        <w:lastRenderedPageBreak/>
        <w:t xml:space="preserve">GASTOS DE IMPRESOS PUBLICIDAD Y PUBLICACIONES A </w:t>
      </w:r>
      <w:r w:rsidR="00B968A1">
        <w:t>JUNIO</w:t>
      </w:r>
      <w:r>
        <w:t xml:space="preserve"> DE 201</w:t>
      </w:r>
      <w:r w:rsidR="00DD03EF">
        <w:t>9</w:t>
      </w:r>
      <w:r>
        <w:t xml:space="preserve"> COMPARATIVOS 201</w:t>
      </w:r>
      <w:r w:rsidR="00DD03EF">
        <w:t>7</w:t>
      </w:r>
      <w:r>
        <w:t xml:space="preserve"> Y</w:t>
      </w:r>
      <w:r>
        <w:rPr>
          <w:spacing w:val="-1"/>
        </w:rPr>
        <w:t xml:space="preserve"> </w:t>
      </w:r>
      <w:r w:rsidR="00FA1084">
        <w:t>201</w:t>
      </w:r>
      <w:r w:rsidR="00DD03EF">
        <w:t>8</w:t>
      </w:r>
      <w:r>
        <w:t>.</w:t>
      </w:r>
    </w:p>
    <w:p w:rsidR="00C039A4" w:rsidRDefault="00C039A4" w:rsidP="00C039A4">
      <w:pPr>
        <w:pStyle w:val="Ttulo1"/>
        <w:tabs>
          <w:tab w:val="left" w:pos="729"/>
          <w:tab w:val="left" w:pos="730"/>
        </w:tabs>
        <w:ind w:right="114"/>
      </w:pPr>
    </w:p>
    <w:tbl>
      <w:tblPr>
        <w:tblW w:w="8788" w:type="dxa"/>
        <w:tblInd w:w="354" w:type="dxa"/>
        <w:tblCellMar>
          <w:left w:w="70" w:type="dxa"/>
          <w:right w:w="70" w:type="dxa"/>
        </w:tblCellMar>
        <w:tblLook w:val="04A0" w:firstRow="1" w:lastRow="0" w:firstColumn="1" w:lastColumn="0" w:noHBand="0" w:noVBand="1"/>
      </w:tblPr>
      <w:tblGrid>
        <w:gridCol w:w="1843"/>
        <w:gridCol w:w="1275"/>
        <w:gridCol w:w="1276"/>
        <w:gridCol w:w="1276"/>
        <w:gridCol w:w="1701"/>
        <w:gridCol w:w="1417"/>
      </w:tblGrid>
      <w:tr w:rsidR="00C039A4" w:rsidRPr="00C039A4" w:rsidTr="00C039A4">
        <w:trPr>
          <w:trHeight w:val="542"/>
        </w:trPr>
        <w:tc>
          <w:tcPr>
            <w:tcW w:w="184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C039A4" w:rsidRPr="00C039A4" w:rsidRDefault="00C039A4" w:rsidP="00C039A4">
            <w:pPr>
              <w:widowControl/>
              <w:autoSpaceDE/>
              <w:autoSpaceDN/>
              <w:jc w:val="center"/>
              <w:rPr>
                <w:rFonts w:eastAsia="Times New Roman"/>
                <w:b/>
                <w:bCs/>
                <w:color w:val="000000"/>
                <w:sz w:val="18"/>
                <w:szCs w:val="18"/>
                <w:lang w:bidi="ar-SA"/>
              </w:rPr>
            </w:pPr>
            <w:r w:rsidRPr="00C039A4">
              <w:rPr>
                <w:rFonts w:eastAsia="Times New Roman"/>
                <w:b/>
                <w:bCs/>
                <w:color w:val="000000"/>
                <w:sz w:val="18"/>
                <w:szCs w:val="18"/>
                <w:lang w:bidi="ar-SA"/>
              </w:rPr>
              <w:t>CONCEPTO</w:t>
            </w:r>
          </w:p>
        </w:tc>
        <w:tc>
          <w:tcPr>
            <w:tcW w:w="1275" w:type="dxa"/>
            <w:tcBorders>
              <w:top w:val="single" w:sz="4" w:space="0" w:color="auto"/>
              <w:left w:val="nil"/>
              <w:bottom w:val="single" w:sz="4" w:space="0" w:color="auto"/>
              <w:right w:val="single" w:sz="4" w:space="0" w:color="auto"/>
            </w:tcBorders>
            <w:shd w:val="clear" w:color="000000" w:fill="B8CCE4"/>
            <w:vAlign w:val="center"/>
            <w:hideMark/>
          </w:tcPr>
          <w:p w:rsidR="00C039A4" w:rsidRPr="00C039A4" w:rsidRDefault="00C039A4" w:rsidP="00C039A4">
            <w:pPr>
              <w:widowControl/>
              <w:autoSpaceDE/>
              <w:autoSpaceDN/>
              <w:jc w:val="center"/>
              <w:rPr>
                <w:rFonts w:eastAsia="Times New Roman"/>
                <w:b/>
                <w:bCs/>
                <w:color w:val="000000"/>
                <w:sz w:val="18"/>
                <w:szCs w:val="18"/>
                <w:lang w:bidi="ar-SA"/>
              </w:rPr>
            </w:pPr>
            <w:r w:rsidRPr="00C039A4">
              <w:rPr>
                <w:rFonts w:eastAsia="Times New Roman"/>
                <w:b/>
                <w:bCs/>
                <w:color w:val="000000"/>
                <w:sz w:val="18"/>
                <w:szCs w:val="18"/>
                <w:lang w:bidi="ar-SA"/>
              </w:rPr>
              <w:t>Segundo Trimestre 2017</w:t>
            </w:r>
          </w:p>
        </w:tc>
        <w:tc>
          <w:tcPr>
            <w:tcW w:w="1276" w:type="dxa"/>
            <w:tcBorders>
              <w:top w:val="single" w:sz="4" w:space="0" w:color="auto"/>
              <w:left w:val="nil"/>
              <w:bottom w:val="single" w:sz="4" w:space="0" w:color="auto"/>
              <w:right w:val="single" w:sz="4" w:space="0" w:color="auto"/>
            </w:tcBorders>
            <w:shd w:val="clear" w:color="000000" w:fill="B8CCE4"/>
            <w:vAlign w:val="center"/>
            <w:hideMark/>
          </w:tcPr>
          <w:p w:rsidR="00C039A4" w:rsidRPr="00C039A4" w:rsidRDefault="00C039A4" w:rsidP="00C039A4">
            <w:pPr>
              <w:widowControl/>
              <w:autoSpaceDE/>
              <w:autoSpaceDN/>
              <w:jc w:val="center"/>
              <w:rPr>
                <w:rFonts w:eastAsia="Times New Roman"/>
                <w:b/>
                <w:bCs/>
                <w:color w:val="000000"/>
                <w:sz w:val="18"/>
                <w:szCs w:val="18"/>
                <w:lang w:bidi="ar-SA"/>
              </w:rPr>
            </w:pPr>
            <w:r w:rsidRPr="00C039A4">
              <w:rPr>
                <w:rFonts w:eastAsia="Times New Roman"/>
                <w:b/>
                <w:bCs/>
                <w:color w:val="000000"/>
                <w:sz w:val="18"/>
                <w:szCs w:val="18"/>
                <w:lang w:bidi="ar-SA"/>
              </w:rPr>
              <w:t>Segundo Trimestre 2018</w:t>
            </w:r>
          </w:p>
        </w:tc>
        <w:tc>
          <w:tcPr>
            <w:tcW w:w="1276" w:type="dxa"/>
            <w:tcBorders>
              <w:top w:val="single" w:sz="4" w:space="0" w:color="auto"/>
              <w:left w:val="nil"/>
              <w:bottom w:val="single" w:sz="4" w:space="0" w:color="auto"/>
              <w:right w:val="single" w:sz="4" w:space="0" w:color="auto"/>
            </w:tcBorders>
            <w:shd w:val="clear" w:color="000000" w:fill="B8CCE4"/>
            <w:vAlign w:val="center"/>
            <w:hideMark/>
          </w:tcPr>
          <w:p w:rsidR="00C039A4" w:rsidRPr="00C039A4" w:rsidRDefault="00C039A4" w:rsidP="00C039A4">
            <w:pPr>
              <w:widowControl/>
              <w:autoSpaceDE/>
              <w:autoSpaceDN/>
              <w:jc w:val="center"/>
              <w:rPr>
                <w:rFonts w:eastAsia="Times New Roman"/>
                <w:b/>
                <w:bCs/>
                <w:color w:val="000000"/>
                <w:sz w:val="18"/>
                <w:szCs w:val="18"/>
                <w:lang w:bidi="ar-SA"/>
              </w:rPr>
            </w:pPr>
            <w:r w:rsidRPr="00C039A4">
              <w:rPr>
                <w:rFonts w:eastAsia="Times New Roman"/>
                <w:b/>
                <w:bCs/>
                <w:color w:val="000000"/>
                <w:sz w:val="18"/>
                <w:szCs w:val="18"/>
                <w:lang w:bidi="ar-SA"/>
              </w:rPr>
              <w:t>Segundo Trimestre 2019</w:t>
            </w:r>
          </w:p>
        </w:tc>
        <w:tc>
          <w:tcPr>
            <w:tcW w:w="1701" w:type="dxa"/>
            <w:tcBorders>
              <w:top w:val="single" w:sz="4" w:space="0" w:color="auto"/>
              <w:left w:val="nil"/>
              <w:bottom w:val="single" w:sz="4" w:space="0" w:color="auto"/>
              <w:right w:val="single" w:sz="4" w:space="0" w:color="auto"/>
            </w:tcBorders>
            <w:shd w:val="clear" w:color="000000" w:fill="B8CCE4"/>
            <w:vAlign w:val="center"/>
            <w:hideMark/>
          </w:tcPr>
          <w:p w:rsidR="00C039A4" w:rsidRPr="00C039A4" w:rsidRDefault="00C039A4" w:rsidP="00C039A4">
            <w:pPr>
              <w:widowControl/>
              <w:autoSpaceDE/>
              <w:autoSpaceDN/>
              <w:jc w:val="center"/>
              <w:rPr>
                <w:rFonts w:eastAsia="Times New Roman"/>
                <w:b/>
                <w:bCs/>
                <w:color w:val="000000"/>
                <w:sz w:val="18"/>
                <w:szCs w:val="18"/>
                <w:lang w:bidi="ar-SA"/>
              </w:rPr>
            </w:pPr>
            <w:r w:rsidRPr="00C039A4">
              <w:rPr>
                <w:rFonts w:eastAsia="Times New Roman"/>
                <w:b/>
                <w:bCs/>
                <w:color w:val="000000"/>
                <w:sz w:val="18"/>
                <w:szCs w:val="18"/>
                <w:lang w:bidi="ar-SA"/>
              </w:rPr>
              <w:t>VARIACION</w:t>
            </w:r>
          </w:p>
        </w:tc>
        <w:tc>
          <w:tcPr>
            <w:tcW w:w="1417" w:type="dxa"/>
            <w:tcBorders>
              <w:top w:val="single" w:sz="4" w:space="0" w:color="auto"/>
              <w:left w:val="nil"/>
              <w:bottom w:val="single" w:sz="4" w:space="0" w:color="auto"/>
              <w:right w:val="single" w:sz="4" w:space="0" w:color="auto"/>
            </w:tcBorders>
            <w:shd w:val="clear" w:color="000000" w:fill="B8CCE4"/>
            <w:vAlign w:val="center"/>
            <w:hideMark/>
          </w:tcPr>
          <w:p w:rsidR="00C039A4" w:rsidRPr="00C039A4" w:rsidRDefault="00C039A4" w:rsidP="00C039A4">
            <w:pPr>
              <w:widowControl/>
              <w:autoSpaceDE/>
              <w:autoSpaceDN/>
              <w:jc w:val="center"/>
              <w:rPr>
                <w:rFonts w:eastAsia="Times New Roman"/>
                <w:b/>
                <w:bCs/>
                <w:color w:val="000000"/>
                <w:sz w:val="18"/>
                <w:szCs w:val="18"/>
                <w:lang w:bidi="ar-SA"/>
              </w:rPr>
            </w:pPr>
            <w:r w:rsidRPr="00C039A4">
              <w:rPr>
                <w:rFonts w:eastAsia="Times New Roman"/>
                <w:b/>
                <w:bCs/>
                <w:color w:val="000000"/>
                <w:sz w:val="18"/>
                <w:szCs w:val="18"/>
                <w:lang w:bidi="ar-SA"/>
              </w:rPr>
              <w:t>VARIACION %</w:t>
            </w:r>
          </w:p>
        </w:tc>
      </w:tr>
      <w:tr w:rsidR="00C039A4" w:rsidRPr="00C039A4" w:rsidTr="00C039A4">
        <w:trPr>
          <w:trHeight w:val="27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rPr>
                <w:rFonts w:eastAsia="Times New Roman"/>
                <w:color w:val="000000"/>
                <w:sz w:val="18"/>
                <w:szCs w:val="18"/>
                <w:lang w:bidi="ar-SA"/>
              </w:rPr>
            </w:pPr>
            <w:r w:rsidRPr="00C039A4">
              <w:rPr>
                <w:rFonts w:eastAsia="Times New Roman"/>
                <w:color w:val="000000"/>
                <w:sz w:val="18"/>
                <w:szCs w:val="18"/>
                <w:lang w:bidi="ar-SA"/>
              </w:rPr>
              <w:t>Publicidad</w:t>
            </w:r>
          </w:p>
        </w:tc>
        <w:tc>
          <w:tcPr>
            <w:tcW w:w="1275"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0</w:t>
            </w:r>
          </w:p>
        </w:tc>
        <w:tc>
          <w:tcPr>
            <w:tcW w:w="1276"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0</w:t>
            </w:r>
          </w:p>
        </w:tc>
        <w:tc>
          <w:tcPr>
            <w:tcW w:w="1276"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0</w:t>
            </w:r>
          </w:p>
        </w:tc>
        <w:tc>
          <w:tcPr>
            <w:tcW w:w="1701"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0</w:t>
            </w:r>
          </w:p>
        </w:tc>
        <w:tc>
          <w:tcPr>
            <w:tcW w:w="1417" w:type="dxa"/>
            <w:tcBorders>
              <w:top w:val="nil"/>
              <w:left w:val="nil"/>
              <w:bottom w:val="single" w:sz="4" w:space="0" w:color="auto"/>
              <w:right w:val="single" w:sz="4" w:space="0" w:color="auto"/>
            </w:tcBorders>
            <w:shd w:val="clear" w:color="auto" w:fill="auto"/>
            <w:noWrap/>
            <w:vAlign w:val="bottom"/>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0%</w:t>
            </w:r>
          </w:p>
        </w:tc>
      </w:tr>
      <w:tr w:rsidR="00C039A4" w:rsidRPr="00C039A4" w:rsidTr="00C039A4">
        <w:trPr>
          <w:trHeight w:val="27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rPr>
                <w:rFonts w:eastAsia="Times New Roman"/>
                <w:color w:val="000000"/>
                <w:sz w:val="18"/>
                <w:szCs w:val="18"/>
                <w:lang w:bidi="ar-SA"/>
              </w:rPr>
            </w:pPr>
            <w:r w:rsidRPr="00C039A4">
              <w:rPr>
                <w:rFonts w:eastAsia="Times New Roman"/>
                <w:color w:val="000000"/>
                <w:sz w:val="18"/>
                <w:szCs w:val="18"/>
                <w:lang w:bidi="ar-SA"/>
              </w:rPr>
              <w:t>Transmisión. TV</w:t>
            </w:r>
          </w:p>
        </w:tc>
        <w:tc>
          <w:tcPr>
            <w:tcW w:w="1275"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0</w:t>
            </w:r>
          </w:p>
        </w:tc>
        <w:tc>
          <w:tcPr>
            <w:tcW w:w="1276"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78.508.953</w:t>
            </w:r>
          </w:p>
        </w:tc>
        <w:tc>
          <w:tcPr>
            <w:tcW w:w="1276"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0</w:t>
            </w:r>
          </w:p>
        </w:tc>
        <w:tc>
          <w:tcPr>
            <w:tcW w:w="1701"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-78.508.953</w:t>
            </w:r>
          </w:p>
        </w:tc>
        <w:tc>
          <w:tcPr>
            <w:tcW w:w="1417" w:type="dxa"/>
            <w:tcBorders>
              <w:top w:val="nil"/>
              <w:left w:val="nil"/>
              <w:bottom w:val="single" w:sz="4" w:space="0" w:color="auto"/>
              <w:right w:val="single" w:sz="4" w:space="0" w:color="auto"/>
            </w:tcBorders>
            <w:shd w:val="clear" w:color="auto" w:fill="auto"/>
            <w:noWrap/>
            <w:vAlign w:val="bottom"/>
            <w:hideMark/>
          </w:tcPr>
          <w:p w:rsidR="00C039A4" w:rsidRPr="00C039A4" w:rsidRDefault="00C039A4" w:rsidP="00C039A4">
            <w:pPr>
              <w:widowControl/>
              <w:autoSpaceDE/>
              <w:autoSpaceDN/>
              <w:jc w:val="right"/>
              <w:rPr>
                <w:rFonts w:eastAsia="Times New Roman"/>
                <w:color w:val="000000"/>
                <w:sz w:val="18"/>
                <w:szCs w:val="18"/>
                <w:lang w:bidi="ar-SA"/>
              </w:rPr>
            </w:pPr>
            <w:r>
              <w:rPr>
                <w:rFonts w:eastAsia="Times New Roman"/>
                <w:color w:val="000000"/>
                <w:sz w:val="18"/>
                <w:szCs w:val="18"/>
                <w:lang w:bidi="ar-SA"/>
              </w:rPr>
              <w:t>0%</w:t>
            </w:r>
          </w:p>
        </w:tc>
      </w:tr>
      <w:tr w:rsidR="00C039A4" w:rsidRPr="00C039A4" w:rsidTr="00C039A4">
        <w:trPr>
          <w:trHeight w:val="27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rPr>
                <w:rFonts w:eastAsia="Times New Roman"/>
                <w:color w:val="000000"/>
                <w:sz w:val="18"/>
                <w:szCs w:val="18"/>
                <w:lang w:bidi="ar-SA"/>
              </w:rPr>
            </w:pPr>
            <w:proofErr w:type="spellStart"/>
            <w:r w:rsidRPr="00C039A4">
              <w:rPr>
                <w:rFonts w:eastAsia="Times New Roman"/>
                <w:color w:val="000000"/>
                <w:sz w:val="18"/>
                <w:szCs w:val="18"/>
                <w:lang w:bidi="ar-SA"/>
              </w:rPr>
              <w:t>Public</w:t>
            </w:r>
            <w:proofErr w:type="spellEnd"/>
            <w:r w:rsidRPr="00C039A4">
              <w:rPr>
                <w:rFonts w:eastAsia="Times New Roman"/>
                <w:color w:val="000000"/>
                <w:sz w:val="18"/>
                <w:szCs w:val="18"/>
                <w:lang w:bidi="ar-SA"/>
              </w:rPr>
              <w:t xml:space="preserve">. </w:t>
            </w:r>
            <w:proofErr w:type="spellStart"/>
            <w:r w:rsidRPr="00C039A4">
              <w:rPr>
                <w:rFonts w:eastAsia="Times New Roman"/>
                <w:color w:val="000000"/>
                <w:sz w:val="18"/>
                <w:szCs w:val="18"/>
                <w:lang w:bidi="ar-SA"/>
              </w:rPr>
              <w:t>Result</w:t>
            </w:r>
            <w:proofErr w:type="spellEnd"/>
            <w:r w:rsidRPr="00C039A4">
              <w:rPr>
                <w:rFonts w:eastAsia="Times New Roman"/>
                <w:color w:val="000000"/>
                <w:sz w:val="18"/>
                <w:szCs w:val="18"/>
                <w:lang w:bidi="ar-SA"/>
              </w:rPr>
              <w:t>. Periódico</w:t>
            </w:r>
          </w:p>
        </w:tc>
        <w:tc>
          <w:tcPr>
            <w:tcW w:w="1275"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10.710.000</w:t>
            </w:r>
          </w:p>
        </w:tc>
        <w:tc>
          <w:tcPr>
            <w:tcW w:w="1276"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23.115.787</w:t>
            </w:r>
          </w:p>
        </w:tc>
        <w:tc>
          <w:tcPr>
            <w:tcW w:w="1276"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0</w:t>
            </w:r>
          </w:p>
        </w:tc>
        <w:tc>
          <w:tcPr>
            <w:tcW w:w="1701"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-23.115.787</w:t>
            </w:r>
          </w:p>
        </w:tc>
        <w:tc>
          <w:tcPr>
            <w:tcW w:w="1417" w:type="dxa"/>
            <w:tcBorders>
              <w:top w:val="nil"/>
              <w:left w:val="nil"/>
              <w:bottom w:val="single" w:sz="4" w:space="0" w:color="auto"/>
              <w:right w:val="single" w:sz="4" w:space="0" w:color="auto"/>
            </w:tcBorders>
            <w:shd w:val="clear" w:color="auto" w:fill="auto"/>
            <w:noWrap/>
            <w:vAlign w:val="bottom"/>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-100,00%</w:t>
            </w:r>
          </w:p>
        </w:tc>
      </w:tr>
      <w:tr w:rsidR="00C039A4" w:rsidRPr="00C039A4" w:rsidTr="00C039A4">
        <w:trPr>
          <w:trHeight w:val="27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rPr>
                <w:rFonts w:eastAsia="Times New Roman"/>
                <w:color w:val="000000"/>
                <w:sz w:val="18"/>
                <w:szCs w:val="18"/>
                <w:lang w:bidi="ar-SA"/>
              </w:rPr>
            </w:pPr>
            <w:proofErr w:type="spellStart"/>
            <w:r w:rsidRPr="00C039A4">
              <w:rPr>
                <w:rFonts w:eastAsia="Times New Roman"/>
                <w:color w:val="000000"/>
                <w:sz w:val="18"/>
                <w:szCs w:val="18"/>
                <w:lang w:bidi="ar-SA"/>
              </w:rPr>
              <w:t>Elabor</w:t>
            </w:r>
            <w:proofErr w:type="spellEnd"/>
            <w:r w:rsidRPr="00C039A4">
              <w:rPr>
                <w:rFonts w:eastAsia="Times New Roman"/>
                <w:color w:val="000000"/>
                <w:sz w:val="18"/>
                <w:szCs w:val="18"/>
                <w:lang w:bidi="ar-SA"/>
              </w:rPr>
              <w:t xml:space="preserve">. </w:t>
            </w:r>
            <w:proofErr w:type="spellStart"/>
            <w:r w:rsidRPr="00C039A4">
              <w:rPr>
                <w:rFonts w:eastAsia="Times New Roman"/>
                <w:color w:val="000000"/>
                <w:sz w:val="18"/>
                <w:szCs w:val="18"/>
                <w:lang w:bidi="ar-SA"/>
              </w:rPr>
              <w:t>Public</w:t>
            </w:r>
            <w:proofErr w:type="spellEnd"/>
            <w:r w:rsidRPr="00C039A4">
              <w:rPr>
                <w:rFonts w:eastAsia="Times New Roman"/>
                <w:color w:val="000000"/>
                <w:sz w:val="18"/>
                <w:szCs w:val="18"/>
                <w:lang w:bidi="ar-SA"/>
              </w:rPr>
              <w:t xml:space="preserve">. </w:t>
            </w:r>
            <w:proofErr w:type="spellStart"/>
            <w:r w:rsidRPr="00C039A4">
              <w:rPr>
                <w:rFonts w:eastAsia="Times New Roman"/>
                <w:color w:val="000000"/>
                <w:sz w:val="18"/>
                <w:szCs w:val="18"/>
                <w:lang w:bidi="ar-SA"/>
              </w:rPr>
              <w:t>Result</w:t>
            </w:r>
            <w:proofErr w:type="spellEnd"/>
            <w:r w:rsidRPr="00C039A4">
              <w:rPr>
                <w:rFonts w:eastAsia="Times New Roman"/>
                <w:color w:val="000000"/>
                <w:sz w:val="18"/>
                <w:szCs w:val="18"/>
                <w:lang w:bidi="ar-SA"/>
              </w:rPr>
              <w:t>. volantes</w:t>
            </w:r>
          </w:p>
        </w:tc>
        <w:tc>
          <w:tcPr>
            <w:tcW w:w="1275"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74.250.000</w:t>
            </w:r>
          </w:p>
        </w:tc>
        <w:tc>
          <w:tcPr>
            <w:tcW w:w="1276"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65.396.544</w:t>
            </w:r>
          </w:p>
        </w:tc>
        <w:tc>
          <w:tcPr>
            <w:tcW w:w="1276"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0</w:t>
            </w:r>
          </w:p>
        </w:tc>
        <w:tc>
          <w:tcPr>
            <w:tcW w:w="1701"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-65.396.544</w:t>
            </w:r>
          </w:p>
        </w:tc>
        <w:tc>
          <w:tcPr>
            <w:tcW w:w="1417" w:type="dxa"/>
            <w:tcBorders>
              <w:top w:val="nil"/>
              <w:left w:val="nil"/>
              <w:bottom w:val="single" w:sz="4" w:space="0" w:color="auto"/>
              <w:right w:val="single" w:sz="4" w:space="0" w:color="auto"/>
            </w:tcBorders>
            <w:shd w:val="clear" w:color="auto" w:fill="auto"/>
            <w:noWrap/>
            <w:vAlign w:val="bottom"/>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-100,00%</w:t>
            </w:r>
          </w:p>
        </w:tc>
      </w:tr>
      <w:tr w:rsidR="00C039A4" w:rsidRPr="00C039A4" w:rsidTr="00C039A4">
        <w:trPr>
          <w:trHeight w:val="27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rPr>
                <w:rFonts w:eastAsia="Times New Roman"/>
                <w:color w:val="000000"/>
                <w:sz w:val="18"/>
                <w:szCs w:val="18"/>
                <w:lang w:bidi="ar-SA"/>
              </w:rPr>
            </w:pPr>
            <w:r w:rsidRPr="00C039A4">
              <w:rPr>
                <w:rFonts w:eastAsia="Times New Roman"/>
                <w:color w:val="000000"/>
                <w:sz w:val="18"/>
                <w:szCs w:val="18"/>
                <w:lang w:bidi="ar-SA"/>
              </w:rPr>
              <w:t>Eventos</w:t>
            </w:r>
          </w:p>
        </w:tc>
        <w:tc>
          <w:tcPr>
            <w:tcW w:w="1275"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108.060.186</w:t>
            </w:r>
          </w:p>
        </w:tc>
        <w:tc>
          <w:tcPr>
            <w:tcW w:w="1276"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122.965.592</w:t>
            </w:r>
          </w:p>
        </w:tc>
        <w:tc>
          <w:tcPr>
            <w:tcW w:w="1276"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103.071.186</w:t>
            </w:r>
          </w:p>
        </w:tc>
        <w:tc>
          <w:tcPr>
            <w:tcW w:w="1701" w:type="dxa"/>
            <w:tcBorders>
              <w:top w:val="nil"/>
              <w:left w:val="nil"/>
              <w:bottom w:val="single" w:sz="4" w:space="0" w:color="auto"/>
              <w:right w:val="single" w:sz="4" w:space="0" w:color="auto"/>
            </w:tcBorders>
            <w:shd w:val="clear" w:color="auto" w:fill="auto"/>
            <w:vAlign w:val="center"/>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-19.894.406</w:t>
            </w:r>
          </w:p>
        </w:tc>
        <w:tc>
          <w:tcPr>
            <w:tcW w:w="1417" w:type="dxa"/>
            <w:tcBorders>
              <w:top w:val="nil"/>
              <w:left w:val="nil"/>
              <w:bottom w:val="single" w:sz="4" w:space="0" w:color="auto"/>
              <w:right w:val="single" w:sz="4" w:space="0" w:color="auto"/>
            </w:tcBorders>
            <w:shd w:val="clear" w:color="auto" w:fill="auto"/>
            <w:noWrap/>
            <w:vAlign w:val="bottom"/>
            <w:hideMark/>
          </w:tcPr>
          <w:p w:rsidR="00C039A4" w:rsidRPr="00C039A4" w:rsidRDefault="00C039A4" w:rsidP="00C039A4">
            <w:pPr>
              <w:widowControl/>
              <w:autoSpaceDE/>
              <w:autoSpaceDN/>
              <w:jc w:val="right"/>
              <w:rPr>
                <w:rFonts w:eastAsia="Times New Roman"/>
                <w:color w:val="000000"/>
                <w:sz w:val="18"/>
                <w:szCs w:val="18"/>
                <w:lang w:bidi="ar-SA"/>
              </w:rPr>
            </w:pPr>
            <w:r w:rsidRPr="00C039A4">
              <w:rPr>
                <w:rFonts w:eastAsia="Times New Roman"/>
                <w:color w:val="000000"/>
                <w:sz w:val="18"/>
                <w:szCs w:val="18"/>
                <w:lang w:bidi="ar-SA"/>
              </w:rPr>
              <w:t>-16,18%</w:t>
            </w:r>
          </w:p>
        </w:tc>
      </w:tr>
      <w:tr w:rsidR="00C039A4" w:rsidRPr="00C039A4" w:rsidTr="00C039A4">
        <w:trPr>
          <w:trHeight w:val="278"/>
        </w:trPr>
        <w:tc>
          <w:tcPr>
            <w:tcW w:w="1843" w:type="dxa"/>
            <w:tcBorders>
              <w:top w:val="nil"/>
              <w:left w:val="single" w:sz="4" w:space="0" w:color="auto"/>
              <w:bottom w:val="single" w:sz="4" w:space="0" w:color="auto"/>
              <w:right w:val="single" w:sz="4" w:space="0" w:color="auto"/>
            </w:tcBorders>
            <w:shd w:val="clear" w:color="000000" w:fill="B8CCE4"/>
            <w:vAlign w:val="center"/>
            <w:hideMark/>
          </w:tcPr>
          <w:p w:rsidR="00C039A4" w:rsidRPr="00C039A4" w:rsidRDefault="00C039A4" w:rsidP="00C039A4">
            <w:pPr>
              <w:widowControl/>
              <w:autoSpaceDE/>
              <w:autoSpaceDN/>
              <w:jc w:val="right"/>
              <w:rPr>
                <w:rFonts w:eastAsia="Times New Roman"/>
                <w:b/>
                <w:bCs/>
                <w:color w:val="000000"/>
                <w:sz w:val="18"/>
                <w:szCs w:val="18"/>
                <w:lang w:bidi="ar-SA"/>
              </w:rPr>
            </w:pPr>
            <w:r w:rsidRPr="00C039A4">
              <w:rPr>
                <w:rFonts w:eastAsia="Times New Roman"/>
                <w:b/>
                <w:bCs/>
                <w:color w:val="000000"/>
                <w:sz w:val="18"/>
                <w:szCs w:val="18"/>
                <w:lang w:bidi="ar-SA"/>
              </w:rPr>
              <w:t>TOTAL</w:t>
            </w:r>
          </w:p>
        </w:tc>
        <w:tc>
          <w:tcPr>
            <w:tcW w:w="1275" w:type="dxa"/>
            <w:tcBorders>
              <w:top w:val="nil"/>
              <w:left w:val="nil"/>
              <w:bottom w:val="single" w:sz="4" w:space="0" w:color="auto"/>
              <w:right w:val="single" w:sz="4" w:space="0" w:color="auto"/>
            </w:tcBorders>
            <w:shd w:val="clear" w:color="000000" w:fill="B8CCE4"/>
            <w:vAlign w:val="center"/>
            <w:hideMark/>
          </w:tcPr>
          <w:p w:rsidR="00C039A4" w:rsidRPr="00C039A4" w:rsidRDefault="00C039A4" w:rsidP="00C039A4">
            <w:pPr>
              <w:widowControl/>
              <w:autoSpaceDE/>
              <w:autoSpaceDN/>
              <w:jc w:val="right"/>
              <w:rPr>
                <w:rFonts w:eastAsia="Times New Roman"/>
                <w:b/>
                <w:bCs/>
                <w:color w:val="000000"/>
                <w:sz w:val="18"/>
                <w:szCs w:val="18"/>
                <w:lang w:bidi="ar-SA"/>
              </w:rPr>
            </w:pPr>
            <w:r w:rsidRPr="00C039A4">
              <w:rPr>
                <w:rFonts w:eastAsia="Times New Roman"/>
                <w:b/>
                <w:bCs/>
                <w:color w:val="000000"/>
                <w:sz w:val="18"/>
                <w:szCs w:val="18"/>
                <w:lang w:bidi="ar-SA"/>
              </w:rPr>
              <w:t>193.020.186</w:t>
            </w:r>
          </w:p>
        </w:tc>
        <w:tc>
          <w:tcPr>
            <w:tcW w:w="1276" w:type="dxa"/>
            <w:tcBorders>
              <w:top w:val="nil"/>
              <w:left w:val="nil"/>
              <w:bottom w:val="single" w:sz="4" w:space="0" w:color="auto"/>
              <w:right w:val="single" w:sz="4" w:space="0" w:color="auto"/>
            </w:tcBorders>
            <w:shd w:val="clear" w:color="000000" w:fill="B8CCE4"/>
            <w:vAlign w:val="center"/>
            <w:hideMark/>
          </w:tcPr>
          <w:p w:rsidR="00C039A4" w:rsidRPr="00C039A4" w:rsidRDefault="00C039A4" w:rsidP="00C039A4">
            <w:pPr>
              <w:widowControl/>
              <w:autoSpaceDE/>
              <w:autoSpaceDN/>
              <w:jc w:val="right"/>
              <w:rPr>
                <w:rFonts w:eastAsia="Times New Roman"/>
                <w:b/>
                <w:bCs/>
                <w:color w:val="000000"/>
                <w:sz w:val="18"/>
                <w:szCs w:val="18"/>
                <w:lang w:bidi="ar-SA"/>
              </w:rPr>
            </w:pPr>
            <w:r w:rsidRPr="00C039A4">
              <w:rPr>
                <w:rFonts w:eastAsia="Times New Roman"/>
                <w:b/>
                <w:bCs/>
                <w:color w:val="000000"/>
                <w:sz w:val="18"/>
                <w:szCs w:val="18"/>
                <w:lang w:bidi="ar-SA"/>
              </w:rPr>
              <w:t>289.986.876</w:t>
            </w:r>
          </w:p>
        </w:tc>
        <w:tc>
          <w:tcPr>
            <w:tcW w:w="1276" w:type="dxa"/>
            <w:tcBorders>
              <w:top w:val="nil"/>
              <w:left w:val="nil"/>
              <w:bottom w:val="single" w:sz="4" w:space="0" w:color="auto"/>
              <w:right w:val="single" w:sz="4" w:space="0" w:color="auto"/>
            </w:tcBorders>
            <w:shd w:val="clear" w:color="000000" w:fill="B8CCE4"/>
            <w:vAlign w:val="center"/>
            <w:hideMark/>
          </w:tcPr>
          <w:p w:rsidR="00C039A4" w:rsidRPr="00C039A4" w:rsidRDefault="00C039A4" w:rsidP="00C039A4">
            <w:pPr>
              <w:widowControl/>
              <w:autoSpaceDE/>
              <w:autoSpaceDN/>
              <w:jc w:val="right"/>
              <w:rPr>
                <w:rFonts w:eastAsia="Times New Roman"/>
                <w:b/>
                <w:bCs/>
                <w:color w:val="000000"/>
                <w:sz w:val="18"/>
                <w:szCs w:val="18"/>
                <w:lang w:bidi="ar-SA"/>
              </w:rPr>
            </w:pPr>
            <w:r w:rsidRPr="00C039A4">
              <w:rPr>
                <w:rFonts w:eastAsia="Times New Roman"/>
                <w:b/>
                <w:bCs/>
                <w:color w:val="000000"/>
                <w:sz w:val="18"/>
                <w:szCs w:val="18"/>
                <w:lang w:bidi="ar-SA"/>
              </w:rPr>
              <w:t>103.071.186</w:t>
            </w:r>
          </w:p>
        </w:tc>
        <w:tc>
          <w:tcPr>
            <w:tcW w:w="1701" w:type="dxa"/>
            <w:tcBorders>
              <w:top w:val="nil"/>
              <w:left w:val="nil"/>
              <w:bottom w:val="single" w:sz="4" w:space="0" w:color="auto"/>
              <w:right w:val="single" w:sz="4" w:space="0" w:color="auto"/>
            </w:tcBorders>
            <w:shd w:val="clear" w:color="000000" w:fill="B8CCE4"/>
            <w:vAlign w:val="center"/>
            <w:hideMark/>
          </w:tcPr>
          <w:p w:rsidR="00C039A4" w:rsidRPr="00C039A4" w:rsidRDefault="00C039A4" w:rsidP="00C039A4">
            <w:pPr>
              <w:widowControl/>
              <w:autoSpaceDE/>
              <w:autoSpaceDN/>
              <w:jc w:val="right"/>
              <w:rPr>
                <w:rFonts w:eastAsia="Times New Roman"/>
                <w:b/>
                <w:bCs/>
                <w:color w:val="000000"/>
                <w:sz w:val="18"/>
                <w:szCs w:val="18"/>
                <w:lang w:bidi="ar-SA"/>
              </w:rPr>
            </w:pPr>
            <w:r w:rsidRPr="00C039A4">
              <w:rPr>
                <w:rFonts w:eastAsia="Times New Roman"/>
                <w:b/>
                <w:bCs/>
                <w:color w:val="000000"/>
                <w:sz w:val="18"/>
                <w:szCs w:val="18"/>
                <w:lang w:bidi="ar-SA"/>
              </w:rPr>
              <w:t>-186.915.690</w:t>
            </w:r>
          </w:p>
        </w:tc>
        <w:tc>
          <w:tcPr>
            <w:tcW w:w="1417" w:type="dxa"/>
            <w:tcBorders>
              <w:top w:val="nil"/>
              <w:left w:val="nil"/>
              <w:bottom w:val="single" w:sz="4" w:space="0" w:color="auto"/>
              <w:right w:val="single" w:sz="4" w:space="0" w:color="auto"/>
            </w:tcBorders>
            <w:shd w:val="clear" w:color="000000" w:fill="B8CCE4"/>
            <w:noWrap/>
            <w:vAlign w:val="bottom"/>
            <w:hideMark/>
          </w:tcPr>
          <w:p w:rsidR="00C039A4" w:rsidRPr="00C039A4" w:rsidRDefault="00C039A4" w:rsidP="00C039A4">
            <w:pPr>
              <w:widowControl/>
              <w:autoSpaceDE/>
              <w:autoSpaceDN/>
              <w:jc w:val="right"/>
              <w:rPr>
                <w:rFonts w:eastAsia="Times New Roman"/>
                <w:b/>
                <w:bCs/>
                <w:color w:val="000000"/>
                <w:sz w:val="18"/>
                <w:szCs w:val="18"/>
                <w:lang w:bidi="ar-SA"/>
              </w:rPr>
            </w:pPr>
            <w:r w:rsidRPr="00C039A4">
              <w:rPr>
                <w:rFonts w:eastAsia="Times New Roman"/>
                <w:b/>
                <w:bCs/>
                <w:color w:val="000000"/>
                <w:sz w:val="18"/>
                <w:szCs w:val="18"/>
                <w:lang w:bidi="ar-SA"/>
              </w:rPr>
              <w:t>-64,46%</w:t>
            </w:r>
          </w:p>
        </w:tc>
      </w:tr>
    </w:tbl>
    <w:p w:rsidR="00C039A4" w:rsidRDefault="00C039A4" w:rsidP="00C039A4">
      <w:pPr>
        <w:pStyle w:val="Ttulo1"/>
        <w:tabs>
          <w:tab w:val="left" w:pos="729"/>
          <w:tab w:val="left" w:pos="730"/>
        </w:tabs>
        <w:ind w:right="114"/>
        <w:jc w:val="center"/>
      </w:pPr>
    </w:p>
    <w:p w:rsidR="00A42B14" w:rsidRDefault="00A42B14" w:rsidP="00C039A4">
      <w:pPr>
        <w:pStyle w:val="Ttulo1"/>
        <w:tabs>
          <w:tab w:val="left" w:pos="729"/>
          <w:tab w:val="left" w:pos="730"/>
        </w:tabs>
        <w:ind w:right="114"/>
        <w:jc w:val="center"/>
      </w:pPr>
    </w:p>
    <w:p w:rsidR="008E330A" w:rsidRDefault="008E330A" w:rsidP="008E330A">
      <w:pPr>
        <w:pStyle w:val="Ttulo1"/>
        <w:tabs>
          <w:tab w:val="left" w:pos="729"/>
          <w:tab w:val="left" w:pos="730"/>
        </w:tabs>
        <w:ind w:right="114"/>
      </w:pPr>
    </w:p>
    <w:p w:rsidR="006D4B72" w:rsidRDefault="00A42B14" w:rsidP="00A42B14">
      <w:pPr>
        <w:pStyle w:val="Ttulo1"/>
        <w:tabs>
          <w:tab w:val="left" w:pos="729"/>
          <w:tab w:val="left" w:pos="730"/>
        </w:tabs>
        <w:ind w:left="720" w:right="114"/>
        <w:jc w:val="both"/>
      </w:pPr>
      <w:r>
        <w:rPr>
          <w:noProof/>
          <w:lang w:bidi="ar-SA"/>
        </w:rPr>
        <w:drawing>
          <wp:inline distT="0" distB="0" distL="0" distR="0" wp14:anchorId="288EC308" wp14:editId="664E7376">
            <wp:extent cx="5448300" cy="3000375"/>
            <wp:effectExtent l="0" t="0" r="1905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1D37" w:rsidRPr="00FE016C" w:rsidRDefault="001F1D37" w:rsidP="001F1D37">
      <w:pPr>
        <w:pStyle w:val="Ttulo1"/>
        <w:tabs>
          <w:tab w:val="left" w:pos="586"/>
          <w:tab w:val="left" w:pos="1276"/>
        </w:tabs>
        <w:spacing w:line="276" w:lineRule="auto"/>
        <w:ind w:left="0" w:right="505"/>
        <w:jc w:val="center"/>
        <w:rPr>
          <w:sz w:val="20"/>
        </w:rPr>
      </w:pPr>
      <w:r w:rsidRPr="00966CAB">
        <w:rPr>
          <w:sz w:val="18"/>
        </w:rPr>
        <w:t xml:space="preserve">Fuente: </w:t>
      </w:r>
      <w:r>
        <w:rPr>
          <w:sz w:val="18"/>
        </w:rPr>
        <w:t>Ejecución presupuestal</w:t>
      </w:r>
      <w:r w:rsidRPr="00966CAB">
        <w:rPr>
          <w:sz w:val="18"/>
        </w:rPr>
        <w:t xml:space="preserve"> </w:t>
      </w:r>
      <w:r>
        <w:rPr>
          <w:sz w:val="18"/>
        </w:rPr>
        <w:t>–</w:t>
      </w:r>
      <w:r w:rsidRPr="00966CAB">
        <w:rPr>
          <w:sz w:val="18"/>
        </w:rPr>
        <w:t xml:space="preserve">Subgerencia </w:t>
      </w:r>
      <w:r>
        <w:rPr>
          <w:sz w:val="18"/>
        </w:rPr>
        <w:t>Financiera</w:t>
      </w:r>
    </w:p>
    <w:p w:rsidR="00A42B14" w:rsidRDefault="00A42B14" w:rsidP="0014227F">
      <w:pPr>
        <w:pStyle w:val="Textoindependiente"/>
        <w:spacing w:line="276" w:lineRule="auto"/>
        <w:ind w:left="302" w:right="114"/>
        <w:jc w:val="both"/>
      </w:pPr>
    </w:p>
    <w:p w:rsidR="00D3757C" w:rsidRDefault="000D75D2" w:rsidP="0014227F">
      <w:pPr>
        <w:pStyle w:val="Textoindependiente"/>
        <w:spacing w:line="276" w:lineRule="auto"/>
        <w:ind w:left="302" w:right="114"/>
        <w:jc w:val="both"/>
      </w:pPr>
      <w:r>
        <w:t>Del cuadro y la gráfica anterior se evidencia que l</w:t>
      </w:r>
      <w:r w:rsidR="006F3373">
        <w:t xml:space="preserve">os gastos de impresos, publicidad y publicaciones </w:t>
      </w:r>
      <w:r w:rsidR="008E330A">
        <w:t xml:space="preserve">para el </w:t>
      </w:r>
      <w:r w:rsidR="001F1D37">
        <w:t>segundo trimestre de la vigencia 2019</w:t>
      </w:r>
      <w:r w:rsidR="008E330A">
        <w:t xml:space="preserve"> </w:t>
      </w:r>
      <w:r w:rsidR="001F1D37">
        <w:t xml:space="preserve">presentaron una disminución </w:t>
      </w:r>
      <w:r w:rsidR="00277513">
        <w:t xml:space="preserve">del </w:t>
      </w:r>
      <w:r w:rsidR="001F1D37">
        <w:t>64</w:t>
      </w:r>
      <w:r w:rsidR="00277513">
        <w:t>.4</w:t>
      </w:r>
      <w:r w:rsidR="001F1D37">
        <w:t>6</w:t>
      </w:r>
      <w:r>
        <w:t>% equivalente a</w:t>
      </w:r>
      <w:r w:rsidR="006F3373">
        <w:t xml:space="preserve"> $</w:t>
      </w:r>
      <w:r w:rsidR="00277513">
        <w:t>1</w:t>
      </w:r>
      <w:r w:rsidR="001F1D37">
        <w:t>86</w:t>
      </w:r>
      <w:r w:rsidR="006F3373">
        <w:t>.</w:t>
      </w:r>
      <w:r w:rsidR="001F1D37">
        <w:t>915</w:t>
      </w:r>
      <w:r w:rsidR="006F3373">
        <w:t>.</w:t>
      </w:r>
      <w:r w:rsidR="001F1D37">
        <w:t>69</w:t>
      </w:r>
      <w:r w:rsidR="00277513">
        <w:t>0</w:t>
      </w:r>
      <w:r w:rsidR="00DB05C8">
        <w:t xml:space="preserve"> con respecto </w:t>
      </w:r>
      <w:r>
        <w:t>a los valores obtenidos para el mismo periodo de la</w:t>
      </w:r>
      <w:r w:rsidR="008E330A">
        <w:t xml:space="preserve"> vigencia 201</w:t>
      </w:r>
      <w:r w:rsidR="003A4371">
        <w:t>8</w:t>
      </w:r>
      <w:r w:rsidR="002A0B3B">
        <w:t xml:space="preserve">, </w:t>
      </w:r>
      <w:r w:rsidR="00277513">
        <w:t xml:space="preserve">es importante aclarar que el </w:t>
      </w:r>
      <w:r w:rsidR="003A4371">
        <w:t>gasto</w:t>
      </w:r>
      <w:r w:rsidR="00277513">
        <w:t xml:space="preserve"> obedece a un único rubro</w:t>
      </w:r>
      <w:r w:rsidR="004A3D4C">
        <w:t xml:space="preserve"> denominado</w:t>
      </w:r>
      <w:r w:rsidR="00277513">
        <w:t xml:space="preserve"> “</w:t>
      </w:r>
      <w:r w:rsidR="00277513" w:rsidRPr="00277513">
        <w:t>Eventos</w:t>
      </w:r>
      <w:r w:rsidR="00277513">
        <w:t>”</w:t>
      </w:r>
      <w:r w:rsidR="004A3D4C">
        <w:t>, ya que los restantes se han mantenido en cero durante la vigencia 201</w:t>
      </w:r>
      <w:r w:rsidR="003A4371">
        <w:t>9</w:t>
      </w:r>
      <w:r w:rsidR="004A3D4C">
        <w:t>, lo cual podría deberse a los periodos de pago pactados con los proveedores de estos servicios, por lo que</w:t>
      </w:r>
      <w:r w:rsidR="002A0B3B">
        <w:t xml:space="preserve"> la publicidad de la Lotería del Santander se encuentra acorde con las actividades de las empresas industriales y comerciales que requieren mantener el producto en la mente del consumidor decreto 1094 de 2001.</w:t>
      </w:r>
    </w:p>
    <w:p w:rsidR="00366A62" w:rsidRDefault="00366A62" w:rsidP="0014227F">
      <w:pPr>
        <w:pStyle w:val="Textoindependiente"/>
        <w:spacing w:line="276" w:lineRule="auto"/>
        <w:ind w:left="302" w:right="114"/>
        <w:jc w:val="both"/>
      </w:pPr>
    </w:p>
    <w:p w:rsidR="00A224A1" w:rsidRDefault="00A224A1" w:rsidP="0014227F">
      <w:pPr>
        <w:pStyle w:val="Textoindependiente"/>
        <w:spacing w:line="276" w:lineRule="auto"/>
        <w:ind w:left="302" w:right="114"/>
        <w:jc w:val="both"/>
      </w:pPr>
    </w:p>
    <w:p w:rsidR="00A224A1" w:rsidRDefault="00A224A1" w:rsidP="0014227F">
      <w:pPr>
        <w:pStyle w:val="Textoindependiente"/>
        <w:spacing w:line="276" w:lineRule="auto"/>
        <w:ind w:left="302" w:right="114"/>
        <w:jc w:val="both"/>
      </w:pPr>
    </w:p>
    <w:p w:rsidR="007C2BC4" w:rsidRPr="00361B1B" w:rsidRDefault="006D032A" w:rsidP="0014227F">
      <w:pPr>
        <w:pStyle w:val="Ttulo1"/>
        <w:numPr>
          <w:ilvl w:val="0"/>
          <w:numId w:val="1"/>
        </w:numPr>
        <w:tabs>
          <w:tab w:val="left" w:pos="729"/>
          <w:tab w:val="left" w:pos="730"/>
          <w:tab w:val="left" w:pos="2277"/>
          <w:tab w:val="left" w:pos="7615"/>
        </w:tabs>
        <w:spacing w:before="9"/>
        <w:ind w:left="729" w:right="119" w:hanging="427"/>
        <w:rPr>
          <w:sz w:val="21"/>
        </w:rPr>
      </w:pPr>
      <w:r>
        <w:lastRenderedPageBreak/>
        <w:t>G</w:t>
      </w:r>
      <w:r w:rsidR="00CB4616">
        <w:t>ASTOS</w:t>
      </w:r>
      <w:r w:rsidR="00CB4616" w:rsidRPr="0014227F">
        <w:rPr>
          <w:spacing w:val="41"/>
        </w:rPr>
        <w:t xml:space="preserve"> </w:t>
      </w:r>
      <w:r w:rsidR="00CB4616">
        <w:t>DE</w:t>
      </w:r>
      <w:r w:rsidR="00CB4616">
        <w:tab/>
        <w:t>MANTENIMIENTO  DE  BIENES  Y</w:t>
      </w:r>
      <w:r w:rsidR="00CB4616" w:rsidRPr="0014227F">
        <w:rPr>
          <w:spacing w:val="-13"/>
        </w:rPr>
        <w:t xml:space="preserve"> </w:t>
      </w:r>
      <w:r w:rsidR="00CB4616">
        <w:t>SERVICIO</w:t>
      </w:r>
      <w:r w:rsidR="00CB4616" w:rsidRPr="0014227F">
        <w:rPr>
          <w:spacing w:val="43"/>
        </w:rPr>
        <w:t xml:space="preserve"> </w:t>
      </w:r>
      <w:r w:rsidR="00CB4616">
        <w:t>DE</w:t>
      </w:r>
      <w:r w:rsidR="003A09B7">
        <w:t xml:space="preserve">  </w:t>
      </w:r>
      <w:r w:rsidR="000A21E9">
        <w:t>VIGILANCIA Y ASEO</w:t>
      </w:r>
    </w:p>
    <w:p w:rsidR="00361B1B" w:rsidRDefault="00361B1B" w:rsidP="00361B1B">
      <w:pPr>
        <w:pStyle w:val="Ttulo1"/>
        <w:tabs>
          <w:tab w:val="left" w:pos="729"/>
          <w:tab w:val="left" w:pos="730"/>
          <w:tab w:val="left" w:pos="2277"/>
          <w:tab w:val="left" w:pos="7615"/>
        </w:tabs>
        <w:spacing w:before="9"/>
        <w:ind w:right="119"/>
      </w:pPr>
    </w:p>
    <w:tbl>
      <w:tblPr>
        <w:tblW w:w="8930" w:type="dxa"/>
        <w:tblInd w:w="354" w:type="dxa"/>
        <w:tblCellMar>
          <w:left w:w="70" w:type="dxa"/>
          <w:right w:w="70" w:type="dxa"/>
        </w:tblCellMar>
        <w:tblLook w:val="04A0" w:firstRow="1" w:lastRow="0" w:firstColumn="1" w:lastColumn="0" w:noHBand="0" w:noVBand="1"/>
      </w:tblPr>
      <w:tblGrid>
        <w:gridCol w:w="2693"/>
        <w:gridCol w:w="1276"/>
        <w:gridCol w:w="1276"/>
        <w:gridCol w:w="1275"/>
        <w:gridCol w:w="1134"/>
        <w:gridCol w:w="1276"/>
      </w:tblGrid>
      <w:tr w:rsidR="00554058" w:rsidRPr="00361B1B" w:rsidTr="002D35A7">
        <w:trPr>
          <w:trHeight w:val="499"/>
        </w:trPr>
        <w:tc>
          <w:tcPr>
            <w:tcW w:w="2693"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554058" w:rsidRPr="00361B1B" w:rsidRDefault="00554058" w:rsidP="00361B1B">
            <w:pPr>
              <w:widowControl/>
              <w:autoSpaceDE/>
              <w:autoSpaceDN/>
              <w:jc w:val="center"/>
              <w:rPr>
                <w:rFonts w:eastAsia="Times New Roman"/>
                <w:b/>
                <w:bCs/>
                <w:color w:val="000000"/>
                <w:sz w:val="18"/>
                <w:szCs w:val="18"/>
                <w:lang w:bidi="ar-SA"/>
              </w:rPr>
            </w:pPr>
            <w:r w:rsidRPr="00361B1B">
              <w:rPr>
                <w:rFonts w:eastAsia="Times New Roman"/>
                <w:b/>
                <w:bCs/>
                <w:color w:val="000000"/>
                <w:sz w:val="18"/>
                <w:szCs w:val="18"/>
                <w:lang w:bidi="ar-SA"/>
              </w:rPr>
              <w:t>CONCEPTO</w:t>
            </w:r>
          </w:p>
        </w:tc>
        <w:tc>
          <w:tcPr>
            <w:tcW w:w="1276" w:type="dxa"/>
            <w:tcBorders>
              <w:top w:val="single" w:sz="8" w:space="0" w:color="auto"/>
              <w:left w:val="nil"/>
              <w:bottom w:val="single" w:sz="8" w:space="0" w:color="auto"/>
              <w:right w:val="single" w:sz="8" w:space="0" w:color="auto"/>
            </w:tcBorders>
            <w:shd w:val="clear" w:color="000000" w:fill="B8CCE4"/>
            <w:vAlign w:val="center"/>
            <w:hideMark/>
          </w:tcPr>
          <w:p w:rsidR="00554058" w:rsidRDefault="00554058">
            <w:pPr>
              <w:jc w:val="center"/>
              <w:rPr>
                <w:b/>
                <w:bCs/>
                <w:color w:val="000000"/>
                <w:sz w:val="18"/>
                <w:szCs w:val="18"/>
              </w:rPr>
            </w:pPr>
            <w:r>
              <w:rPr>
                <w:b/>
                <w:bCs/>
                <w:color w:val="000000"/>
                <w:sz w:val="18"/>
                <w:szCs w:val="18"/>
              </w:rPr>
              <w:t>Segundo trimestre 2017</w:t>
            </w:r>
          </w:p>
        </w:tc>
        <w:tc>
          <w:tcPr>
            <w:tcW w:w="1276" w:type="dxa"/>
            <w:tcBorders>
              <w:top w:val="single" w:sz="8" w:space="0" w:color="auto"/>
              <w:left w:val="nil"/>
              <w:bottom w:val="single" w:sz="8" w:space="0" w:color="auto"/>
              <w:right w:val="single" w:sz="8" w:space="0" w:color="auto"/>
            </w:tcBorders>
            <w:shd w:val="clear" w:color="000000" w:fill="B8CCE4"/>
            <w:vAlign w:val="center"/>
            <w:hideMark/>
          </w:tcPr>
          <w:p w:rsidR="00554058" w:rsidRDefault="00554058">
            <w:pPr>
              <w:jc w:val="center"/>
              <w:rPr>
                <w:b/>
                <w:bCs/>
                <w:color w:val="000000"/>
                <w:sz w:val="18"/>
                <w:szCs w:val="18"/>
              </w:rPr>
            </w:pPr>
            <w:r>
              <w:rPr>
                <w:b/>
                <w:bCs/>
                <w:color w:val="000000"/>
                <w:sz w:val="18"/>
                <w:szCs w:val="18"/>
              </w:rPr>
              <w:t>Segundo trimestre 2018</w:t>
            </w:r>
          </w:p>
        </w:tc>
        <w:tc>
          <w:tcPr>
            <w:tcW w:w="1275" w:type="dxa"/>
            <w:tcBorders>
              <w:top w:val="single" w:sz="8" w:space="0" w:color="auto"/>
              <w:left w:val="nil"/>
              <w:bottom w:val="single" w:sz="8" w:space="0" w:color="auto"/>
              <w:right w:val="single" w:sz="8" w:space="0" w:color="auto"/>
            </w:tcBorders>
            <w:shd w:val="clear" w:color="000000" w:fill="B8CCE4"/>
            <w:vAlign w:val="center"/>
            <w:hideMark/>
          </w:tcPr>
          <w:p w:rsidR="00554058" w:rsidRDefault="00554058">
            <w:pPr>
              <w:jc w:val="center"/>
              <w:rPr>
                <w:b/>
                <w:bCs/>
                <w:color w:val="000000"/>
                <w:sz w:val="18"/>
                <w:szCs w:val="18"/>
              </w:rPr>
            </w:pPr>
            <w:r>
              <w:rPr>
                <w:b/>
                <w:bCs/>
                <w:color w:val="000000"/>
                <w:sz w:val="18"/>
                <w:szCs w:val="18"/>
              </w:rPr>
              <w:t>Segundo trimestre 2019</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554058" w:rsidRDefault="00554058">
            <w:pPr>
              <w:jc w:val="center"/>
              <w:rPr>
                <w:b/>
                <w:bCs/>
                <w:color w:val="000000"/>
                <w:sz w:val="18"/>
                <w:szCs w:val="18"/>
              </w:rPr>
            </w:pPr>
            <w:r>
              <w:rPr>
                <w:b/>
                <w:bCs/>
                <w:color w:val="000000"/>
                <w:sz w:val="18"/>
                <w:szCs w:val="18"/>
              </w:rPr>
              <w:t xml:space="preserve">Variación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554058" w:rsidRDefault="00554058">
            <w:pPr>
              <w:jc w:val="center"/>
              <w:rPr>
                <w:b/>
                <w:bCs/>
                <w:color w:val="000000"/>
                <w:sz w:val="18"/>
                <w:szCs w:val="18"/>
              </w:rPr>
            </w:pPr>
            <w:r>
              <w:rPr>
                <w:b/>
                <w:bCs/>
                <w:color w:val="000000"/>
                <w:sz w:val="18"/>
                <w:szCs w:val="18"/>
              </w:rPr>
              <w:t>Variación porcentual</w:t>
            </w:r>
          </w:p>
        </w:tc>
      </w:tr>
      <w:tr w:rsidR="00554058" w:rsidRPr="00361B1B" w:rsidTr="002D35A7">
        <w:trPr>
          <w:trHeight w:val="317"/>
        </w:trPr>
        <w:tc>
          <w:tcPr>
            <w:tcW w:w="2693" w:type="dxa"/>
            <w:vMerge/>
            <w:tcBorders>
              <w:top w:val="single" w:sz="8" w:space="0" w:color="auto"/>
              <w:left w:val="single" w:sz="8" w:space="0" w:color="auto"/>
              <w:bottom w:val="single" w:sz="8" w:space="0" w:color="000000"/>
              <w:right w:val="single" w:sz="8" w:space="0" w:color="auto"/>
            </w:tcBorders>
            <w:vAlign w:val="center"/>
            <w:hideMark/>
          </w:tcPr>
          <w:p w:rsidR="00554058" w:rsidRPr="00361B1B" w:rsidRDefault="00554058" w:rsidP="00361B1B">
            <w:pPr>
              <w:widowControl/>
              <w:autoSpaceDE/>
              <w:autoSpaceDN/>
              <w:rPr>
                <w:rFonts w:eastAsia="Times New Roman"/>
                <w:b/>
                <w:bCs/>
                <w:color w:val="000000"/>
                <w:sz w:val="18"/>
                <w:szCs w:val="18"/>
                <w:lang w:bidi="ar-SA"/>
              </w:rPr>
            </w:pPr>
          </w:p>
        </w:tc>
        <w:tc>
          <w:tcPr>
            <w:tcW w:w="1276" w:type="dxa"/>
            <w:tcBorders>
              <w:top w:val="nil"/>
              <w:left w:val="nil"/>
              <w:bottom w:val="single" w:sz="8" w:space="0" w:color="auto"/>
              <w:right w:val="single" w:sz="8" w:space="0" w:color="auto"/>
            </w:tcBorders>
            <w:shd w:val="clear" w:color="000000" w:fill="B8CCE4"/>
            <w:vAlign w:val="center"/>
            <w:hideMark/>
          </w:tcPr>
          <w:p w:rsidR="00554058" w:rsidRPr="00361B1B" w:rsidRDefault="00554058" w:rsidP="00361B1B">
            <w:pPr>
              <w:widowControl/>
              <w:autoSpaceDE/>
              <w:autoSpaceDN/>
              <w:jc w:val="center"/>
              <w:rPr>
                <w:rFonts w:eastAsia="Times New Roman"/>
                <w:b/>
                <w:bCs/>
                <w:color w:val="000000"/>
                <w:sz w:val="18"/>
                <w:szCs w:val="18"/>
                <w:lang w:bidi="ar-SA"/>
              </w:rPr>
            </w:pPr>
            <w:r>
              <w:rPr>
                <w:b/>
                <w:bCs/>
                <w:color w:val="000000"/>
                <w:sz w:val="18"/>
                <w:szCs w:val="18"/>
              </w:rPr>
              <w:t>Valor</w:t>
            </w:r>
          </w:p>
        </w:tc>
        <w:tc>
          <w:tcPr>
            <w:tcW w:w="1276" w:type="dxa"/>
            <w:tcBorders>
              <w:top w:val="nil"/>
              <w:left w:val="nil"/>
              <w:bottom w:val="single" w:sz="8" w:space="0" w:color="auto"/>
              <w:right w:val="single" w:sz="8" w:space="0" w:color="auto"/>
            </w:tcBorders>
            <w:shd w:val="clear" w:color="000000" w:fill="B8CCE4"/>
            <w:vAlign w:val="center"/>
            <w:hideMark/>
          </w:tcPr>
          <w:p w:rsidR="00554058" w:rsidRPr="00361B1B" w:rsidRDefault="00554058" w:rsidP="00361B1B">
            <w:pPr>
              <w:widowControl/>
              <w:autoSpaceDE/>
              <w:autoSpaceDN/>
              <w:jc w:val="center"/>
              <w:rPr>
                <w:rFonts w:eastAsia="Times New Roman"/>
                <w:b/>
                <w:bCs/>
                <w:color w:val="000000"/>
                <w:sz w:val="18"/>
                <w:szCs w:val="18"/>
                <w:lang w:bidi="ar-SA"/>
              </w:rPr>
            </w:pPr>
            <w:r>
              <w:rPr>
                <w:b/>
                <w:bCs/>
                <w:color w:val="000000"/>
                <w:sz w:val="18"/>
                <w:szCs w:val="18"/>
              </w:rPr>
              <w:t>Valor</w:t>
            </w:r>
          </w:p>
        </w:tc>
        <w:tc>
          <w:tcPr>
            <w:tcW w:w="1275" w:type="dxa"/>
            <w:tcBorders>
              <w:top w:val="nil"/>
              <w:left w:val="nil"/>
              <w:bottom w:val="single" w:sz="8" w:space="0" w:color="auto"/>
              <w:right w:val="single" w:sz="8" w:space="0" w:color="auto"/>
            </w:tcBorders>
            <w:shd w:val="clear" w:color="000000" w:fill="B8CCE4"/>
            <w:vAlign w:val="center"/>
            <w:hideMark/>
          </w:tcPr>
          <w:p w:rsidR="00554058" w:rsidRPr="00361B1B" w:rsidRDefault="00554058" w:rsidP="00361B1B">
            <w:pPr>
              <w:widowControl/>
              <w:autoSpaceDE/>
              <w:autoSpaceDN/>
              <w:jc w:val="center"/>
              <w:rPr>
                <w:rFonts w:eastAsia="Times New Roman"/>
                <w:b/>
                <w:bCs/>
                <w:color w:val="000000"/>
                <w:sz w:val="18"/>
                <w:szCs w:val="18"/>
                <w:lang w:bidi="ar-SA"/>
              </w:rPr>
            </w:pPr>
            <w:r>
              <w:rPr>
                <w:b/>
                <w:bCs/>
                <w:color w:val="000000"/>
                <w:sz w:val="18"/>
                <w:szCs w:val="18"/>
              </w:rPr>
              <w:t>Valor</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54058" w:rsidRPr="00361B1B" w:rsidRDefault="00554058" w:rsidP="00361B1B">
            <w:pPr>
              <w:widowControl/>
              <w:autoSpaceDE/>
              <w:autoSpaceDN/>
              <w:rPr>
                <w:rFonts w:eastAsia="Times New Roman"/>
                <w:b/>
                <w:bCs/>
                <w:color w:val="000000"/>
                <w:sz w:val="18"/>
                <w:szCs w:val="18"/>
                <w:lang w:bidi="ar-SA"/>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554058" w:rsidRPr="00361B1B" w:rsidRDefault="00554058" w:rsidP="00361B1B">
            <w:pPr>
              <w:widowControl/>
              <w:autoSpaceDE/>
              <w:autoSpaceDN/>
              <w:rPr>
                <w:rFonts w:eastAsia="Times New Roman"/>
                <w:b/>
                <w:bCs/>
                <w:color w:val="000000"/>
                <w:sz w:val="18"/>
                <w:szCs w:val="18"/>
                <w:lang w:bidi="ar-SA"/>
              </w:rPr>
            </w:pPr>
          </w:p>
        </w:tc>
      </w:tr>
      <w:tr w:rsidR="00554058" w:rsidRPr="00361B1B" w:rsidTr="00554058">
        <w:trPr>
          <w:trHeight w:val="302"/>
        </w:trPr>
        <w:tc>
          <w:tcPr>
            <w:tcW w:w="2693" w:type="dxa"/>
            <w:tcBorders>
              <w:top w:val="nil"/>
              <w:left w:val="single" w:sz="8" w:space="0" w:color="auto"/>
              <w:bottom w:val="nil"/>
              <w:right w:val="nil"/>
            </w:tcBorders>
            <w:shd w:val="clear" w:color="auto" w:fill="auto"/>
            <w:noWrap/>
            <w:vAlign w:val="bottom"/>
            <w:hideMark/>
          </w:tcPr>
          <w:p w:rsidR="00554058" w:rsidRPr="00361B1B" w:rsidRDefault="00554058" w:rsidP="00361B1B">
            <w:pPr>
              <w:widowControl/>
              <w:autoSpaceDE/>
              <w:autoSpaceDN/>
              <w:rPr>
                <w:rFonts w:eastAsia="Times New Roman"/>
                <w:color w:val="000000"/>
                <w:sz w:val="18"/>
                <w:szCs w:val="18"/>
                <w:lang w:bidi="ar-SA"/>
              </w:rPr>
            </w:pPr>
            <w:r w:rsidRPr="00361B1B">
              <w:rPr>
                <w:rFonts w:eastAsia="Times New Roman"/>
                <w:color w:val="000000"/>
                <w:sz w:val="18"/>
                <w:szCs w:val="18"/>
                <w:lang w:bidi="ar-SA"/>
              </w:rPr>
              <w:t>Mantenimiento de Mobiliario y Equipo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54058" w:rsidRDefault="00554058" w:rsidP="00554058">
            <w:pPr>
              <w:jc w:val="right"/>
              <w:rPr>
                <w:color w:val="000000"/>
                <w:sz w:val="18"/>
                <w:szCs w:val="18"/>
              </w:rPr>
            </w:pPr>
            <w:r>
              <w:rPr>
                <w:color w:val="000000"/>
                <w:sz w:val="18"/>
                <w:szCs w:val="18"/>
              </w:rPr>
              <w:t>16.174.497</w:t>
            </w:r>
          </w:p>
        </w:tc>
        <w:tc>
          <w:tcPr>
            <w:tcW w:w="1276" w:type="dxa"/>
            <w:tcBorders>
              <w:top w:val="nil"/>
              <w:left w:val="nil"/>
              <w:bottom w:val="single" w:sz="4" w:space="0" w:color="auto"/>
              <w:right w:val="single" w:sz="4" w:space="0" w:color="auto"/>
            </w:tcBorders>
            <w:shd w:val="clear" w:color="auto" w:fill="auto"/>
            <w:vAlign w:val="center"/>
            <w:hideMark/>
          </w:tcPr>
          <w:p w:rsidR="00554058" w:rsidRDefault="00554058" w:rsidP="00554058">
            <w:pPr>
              <w:jc w:val="right"/>
              <w:rPr>
                <w:color w:val="000000"/>
                <w:sz w:val="18"/>
                <w:szCs w:val="18"/>
              </w:rPr>
            </w:pPr>
            <w:r>
              <w:rPr>
                <w:color w:val="000000"/>
                <w:sz w:val="18"/>
                <w:szCs w:val="18"/>
              </w:rPr>
              <w:t>14.023.620</w:t>
            </w:r>
          </w:p>
        </w:tc>
        <w:tc>
          <w:tcPr>
            <w:tcW w:w="1275" w:type="dxa"/>
            <w:tcBorders>
              <w:top w:val="nil"/>
              <w:left w:val="nil"/>
              <w:bottom w:val="single" w:sz="4" w:space="0" w:color="auto"/>
              <w:right w:val="single" w:sz="4" w:space="0" w:color="auto"/>
            </w:tcBorders>
            <w:shd w:val="clear" w:color="auto" w:fill="auto"/>
            <w:vAlign w:val="center"/>
            <w:hideMark/>
          </w:tcPr>
          <w:p w:rsidR="00554058" w:rsidRDefault="00554058" w:rsidP="00554058">
            <w:pPr>
              <w:jc w:val="right"/>
              <w:rPr>
                <w:color w:val="000000"/>
                <w:sz w:val="18"/>
                <w:szCs w:val="18"/>
              </w:rPr>
            </w:pPr>
            <w:r>
              <w:rPr>
                <w:color w:val="000000"/>
                <w:sz w:val="18"/>
                <w:szCs w:val="18"/>
              </w:rPr>
              <w:t>650.200</w:t>
            </w:r>
          </w:p>
        </w:tc>
        <w:tc>
          <w:tcPr>
            <w:tcW w:w="1134" w:type="dxa"/>
            <w:tcBorders>
              <w:top w:val="single" w:sz="4" w:space="0" w:color="auto"/>
              <w:left w:val="nil"/>
              <w:bottom w:val="nil"/>
              <w:right w:val="single" w:sz="4" w:space="0" w:color="auto"/>
            </w:tcBorders>
            <w:shd w:val="clear" w:color="auto" w:fill="auto"/>
            <w:noWrap/>
            <w:vAlign w:val="center"/>
            <w:hideMark/>
          </w:tcPr>
          <w:p w:rsidR="00554058" w:rsidRDefault="00554058" w:rsidP="00554058">
            <w:pPr>
              <w:jc w:val="right"/>
              <w:rPr>
                <w:color w:val="000000"/>
                <w:sz w:val="18"/>
                <w:szCs w:val="18"/>
              </w:rPr>
            </w:pPr>
            <w:r>
              <w:rPr>
                <w:color w:val="000000"/>
                <w:sz w:val="18"/>
                <w:szCs w:val="18"/>
              </w:rPr>
              <w:t>-13.373.420</w:t>
            </w:r>
          </w:p>
        </w:tc>
        <w:tc>
          <w:tcPr>
            <w:tcW w:w="1276" w:type="dxa"/>
            <w:tcBorders>
              <w:top w:val="single" w:sz="4" w:space="0" w:color="auto"/>
              <w:left w:val="nil"/>
              <w:bottom w:val="nil"/>
              <w:right w:val="single" w:sz="8" w:space="0" w:color="auto"/>
            </w:tcBorders>
            <w:shd w:val="clear" w:color="auto" w:fill="auto"/>
            <w:noWrap/>
            <w:vAlign w:val="center"/>
            <w:hideMark/>
          </w:tcPr>
          <w:p w:rsidR="00554058" w:rsidRDefault="00554058" w:rsidP="00554058">
            <w:pPr>
              <w:jc w:val="right"/>
              <w:rPr>
                <w:color w:val="000000"/>
                <w:sz w:val="18"/>
                <w:szCs w:val="18"/>
              </w:rPr>
            </w:pPr>
            <w:r>
              <w:rPr>
                <w:color w:val="000000"/>
                <w:sz w:val="18"/>
                <w:szCs w:val="18"/>
              </w:rPr>
              <w:t>-95,36%</w:t>
            </w:r>
          </w:p>
        </w:tc>
      </w:tr>
      <w:tr w:rsidR="00554058" w:rsidRPr="00361B1B" w:rsidTr="00554058">
        <w:trPr>
          <w:trHeight w:val="302"/>
        </w:trPr>
        <w:tc>
          <w:tcPr>
            <w:tcW w:w="26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54058" w:rsidRPr="00361B1B" w:rsidRDefault="00554058" w:rsidP="00361B1B">
            <w:pPr>
              <w:widowControl/>
              <w:autoSpaceDE/>
              <w:autoSpaceDN/>
              <w:rPr>
                <w:rFonts w:eastAsia="Times New Roman"/>
                <w:color w:val="000000"/>
                <w:sz w:val="18"/>
                <w:szCs w:val="18"/>
                <w:lang w:bidi="ar-SA"/>
              </w:rPr>
            </w:pPr>
            <w:r w:rsidRPr="00361B1B">
              <w:rPr>
                <w:rFonts w:eastAsia="Times New Roman"/>
                <w:color w:val="000000"/>
                <w:sz w:val="18"/>
                <w:szCs w:val="18"/>
                <w:lang w:bidi="ar-SA"/>
              </w:rPr>
              <w:t>Mantenimiento de Edificaciones</w:t>
            </w:r>
          </w:p>
        </w:tc>
        <w:tc>
          <w:tcPr>
            <w:tcW w:w="1276" w:type="dxa"/>
            <w:tcBorders>
              <w:top w:val="nil"/>
              <w:left w:val="nil"/>
              <w:bottom w:val="single" w:sz="4" w:space="0" w:color="auto"/>
              <w:right w:val="single" w:sz="4" w:space="0" w:color="auto"/>
            </w:tcBorders>
            <w:shd w:val="clear" w:color="auto" w:fill="auto"/>
            <w:vAlign w:val="center"/>
            <w:hideMark/>
          </w:tcPr>
          <w:p w:rsidR="00554058" w:rsidRDefault="00554058" w:rsidP="00554058">
            <w:pPr>
              <w:jc w:val="right"/>
              <w:rPr>
                <w:color w:val="000000"/>
                <w:sz w:val="18"/>
                <w:szCs w:val="18"/>
              </w:rPr>
            </w:pPr>
            <w:r>
              <w:rPr>
                <w:color w:val="000000"/>
                <w:sz w:val="18"/>
                <w:szCs w:val="18"/>
              </w:rPr>
              <w:t>718.500</w:t>
            </w:r>
          </w:p>
        </w:tc>
        <w:tc>
          <w:tcPr>
            <w:tcW w:w="1276" w:type="dxa"/>
            <w:tcBorders>
              <w:top w:val="nil"/>
              <w:left w:val="nil"/>
              <w:bottom w:val="single" w:sz="4" w:space="0" w:color="auto"/>
              <w:right w:val="single" w:sz="4" w:space="0" w:color="auto"/>
            </w:tcBorders>
            <w:shd w:val="clear" w:color="auto" w:fill="auto"/>
            <w:vAlign w:val="center"/>
            <w:hideMark/>
          </w:tcPr>
          <w:p w:rsidR="00554058" w:rsidRDefault="00554058" w:rsidP="00554058">
            <w:pPr>
              <w:jc w:val="right"/>
              <w:rPr>
                <w:color w:val="000000"/>
                <w:sz w:val="18"/>
                <w:szCs w:val="18"/>
              </w:rPr>
            </w:pPr>
            <w:r>
              <w:rPr>
                <w:color w:val="000000"/>
                <w:sz w:val="18"/>
                <w:szCs w:val="18"/>
              </w:rPr>
              <w:t>3.419.349</w:t>
            </w:r>
          </w:p>
        </w:tc>
        <w:tc>
          <w:tcPr>
            <w:tcW w:w="1275" w:type="dxa"/>
            <w:tcBorders>
              <w:top w:val="nil"/>
              <w:left w:val="nil"/>
              <w:bottom w:val="single" w:sz="4" w:space="0" w:color="auto"/>
              <w:right w:val="single" w:sz="4" w:space="0" w:color="auto"/>
            </w:tcBorders>
            <w:shd w:val="clear" w:color="auto" w:fill="auto"/>
            <w:vAlign w:val="center"/>
            <w:hideMark/>
          </w:tcPr>
          <w:p w:rsidR="00554058" w:rsidRDefault="00554058" w:rsidP="00554058">
            <w:pPr>
              <w:jc w:val="right"/>
              <w:rPr>
                <w:color w:val="000000"/>
                <w:sz w:val="18"/>
                <w:szCs w:val="18"/>
              </w:rPr>
            </w:pPr>
            <w:r>
              <w:rPr>
                <w:color w:val="000000"/>
                <w:sz w:val="18"/>
                <w:szCs w:val="18"/>
              </w:rPr>
              <w:t>1.087.500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4058" w:rsidRDefault="00554058" w:rsidP="00554058">
            <w:pPr>
              <w:jc w:val="right"/>
              <w:rPr>
                <w:color w:val="000000"/>
                <w:sz w:val="18"/>
                <w:szCs w:val="18"/>
              </w:rPr>
            </w:pPr>
            <w:r>
              <w:rPr>
                <w:color w:val="000000"/>
                <w:sz w:val="18"/>
                <w:szCs w:val="18"/>
              </w:rPr>
              <w:t>-2.331.849</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554058" w:rsidRDefault="00554058" w:rsidP="00554058">
            <w:pPr>
              <w:jc w:val="right"/>
              <w:rPr>
                <w:color w:val="000000"/>
                <w:sz w:val="18"/>
                <w:szCs w:val="18"/>
              </w:rPr>
            </w:pPr>
            <w:r>
              <w:rPr>
                <w:color w:val="000000"/>
                <w:sz w:val="18"/>
                <w:szCs w:val="18"/>
              </w:rPr>
              <w:t>-68,20%</w:t>
            </w:r>
          </w:p>
        </w:tc>
      </w:tr>
      <w:tr w:rsidR="00554058" w:rsidRPr="00361B1B" w:rsidTr="00554058">
        <w:trPr>
          <w:trHeight w:val="317"/>
        </w:trPr>
        <w:tc>
          <w:tcPr>
            <w:tcW w:w="2693" w:type="dxa"/>
            <w:tcBorders>
              <w:top w:val="nil"/>
              <w:left w:val="single" w:sz="8" w:space="0" w:color="auto"/>
              <w:bottom w:val="single" w:sz="8" w:space="0" w:color="auto"/>
              <w:right w:val="single" w:sz="4" w:space="0" w:color="auto"/>
            </w:tcBorders>
            <w:shd w:val="clear" w:color="auto" w:fill="auto"/>
            <w:noWrap/>
            <w:vAlign w:val="bottom"/>
            <w:hideMark/>
          </w:tcPr>
          <w:p w:rsidR="00554058" w:rsidRPr="00361B1B" w:rsidRDefault="00554058" w:rsidP="00361B1B">
            <w:pPr>
              <w:widowControl/>
              <w:autoSpaceDE/>
              <w:autoSpaceDN/>
              <w:rPr>
                <w:rFonts w:eastAsia="Times New Roman"/>
                <w:color w:val="000000"/>
                <w:sz w:val="18"/>
                <w:szCs w:val="18"/>
                <w:lang w:bidi="ar-SA"/>
              </w:rPr>
            </w:pPr>
            <w:r w:rsidRPr="00361B1B">
              <w:rPr>
                <w:rFonts w:eastAsia="Times New Roman"/>
                <w:color w:val="000000"/>
                <w:sz w:val="18"/>
                <w:szCs w:val="18"/>
                <w:lang w:bidi="ar-SA"/>
              </w:rPr>
              <w:t>Contrato de Vigilancia y Aseo</w:t>
            </w:r>
          </w:p>
        </w:tc>
        <w:tc>
          <w:tcPr>
            <w:tcW w:w="1276" w:type="dxa"/>
            <w:tcBorders>
              <w:top w:val="nil"/>
              <w:left w:val="nil"/>
              <w:bottom w:val="single" w:sz="8" w:space="0" w:color="auto"/>
              <w:right w:val="single" w:sz="4" w:space="0" w:color="auto"/>
            </w:tcBorders>
            <w:shd w:val="clear" w:color="auto" w:fill="auto"/>
            <w:vAlign w:val="center"/>
            <w:hideMark/>
          </w:tcPr>
          <w:p w:rsidR="00554058" w:rsidRDefault="00554058" w:rsidP="00554058">
            <w:pPr>
              <w:jc w:val="right"/>
              <w:rPr>
                <w:color w:val="000000"/>
                <w:sz w:val="18"/>
                <w:szCs w:val="18"/>
              </w:rPr>
            </w:pPr>
            <w:r>
              <w:rPr>
                <w:color w:val="000000"/>
                <w:sz w:val="18"/>
                <w:szCs w:val="18"/>
              </w:rPr>
              <w:t>108.306.549</w:t>
            </w:r>
          </w:p>
        </w:tc>
        <w:tc>
          <w:tcPr>
            <w:tcW w:w="1276" w:type="dxa"/>
            <w:tcBorders>
              <w:top w:val="nil"/>
              <w:left w:val="nil"/>
              <w:bottom w:val="single" w:sz="8" w:space="0" w:color="auto"/>
              <w:right w:val="single" w:sz="4" w:space="0" w:color="auto"/>
            </w:tcBorders>
            <w:shd w:val="clear" w:color="auto" w:fill="auto"/>
            <w:vAlign w:val="center"/>
            <w:hideMark/>
          </w:tcPr>
          <w:p w:rsidR="00554058" w:rsidRDefault="00554058" w:rsidP="00554058">
            <w:pPr>
              <w:jc w:val="right"/>
              <w:rPr>
                <w:color w:val="000000"/>
                <w:sz w:val="18"/>
                <w:szCs w:val="18"/>
              </w:rPr>
            </w:pPr>
            <w:r>
              <w:rPr>
                <w:color w:val="000000"/>
                <w:sz w:val="18"/>
                <w:szCs w:val="18"/>
              </w:rPr>
              <w:t>72.745.096</w:t>
            </w:r>
          </w:p>
        </w:tc>
        <w:tc>
          <w:tcPr>
            <w:tcW w:w="1275" w:type="dxa"/>
            <w:tcBorders>
              <w:top w:val="nil"/>
              <w:left w:val="nil"/>
              <w:bottom w:val="single" w:sz="8" w:space="0" w:color="auto"/>
              <w:right w:val="single" w:sz="4" w:space="0" w:color="auto"/>
            </w:tcBorders>
            <w:shd w:val="clear" w:color="auto" w:fill="auto"/>
            <w:vAlign w:val="center"/>
            <w:hideMark/>
          </w:tcPr>
          <w:p w:rsidR="00554058" w:rsidRDefault="00554058" w:rsidP="00554058">
            <w:pPr>
              <w:jc w:val="right"/>
              <w:rPr>
                <w:color w:val="000000"/>
                <w:sz w:val="18"/>
                <w:szCs w:val="18"/>
              </w:rPr>
            </w:pPr>
            <w:r>
              <w:rPr>
                <w:color w:val="000000"/>
                <w:sz w:val="18"/>
                <w:szCs w:val="18"/>
              </w:rPr>
              <w:t>0</w:t>
            </w:r>
          </w:p>
        </w:tc>
        <w:tc>
          <w:tcPr>
            <w:tcW w:w="1134" w:type="dxa"/>
            <w:tcBorders>
              <w:top w:val="nil"/>
              <w:left w:val="nil"/>
              <w:bottom w:val="single" w:sz="8" w:space="0" w:color="auto"/>
              <w:right w:val="single" w:sz="4" w:space="0" w:color="auto"/>
            </w:tcBorders>
            <w:shd w:val="clear" w:color="auto" w:fill="auto"/>
            <w:noWrap/>
            <w:vAlign w:val="center"/>
            <w:hideMark/>
          </w:tcPr>
          <w:p w:rsidR="00554058" w:rsidRDefault="00554058" w:rsidP="00554058">
            <w:pPr>
              <w:jc w:val="right"/>
              <w:rPr>
                <w:color w:val="000000"/>
                <w:sz w:val="18"/>
                <w:szCs w:val="18"/>
              </w:rPr>
            </w:pPr>
            <w:r>
              <w:rPr>
                <w:color w:val="000000"/>
                <w:sz w:val="18"/>
                <w:szCs w:val="18"/>
              </w:rPr>
              <w:t>-72.745.096</w:t>
            </w:r>
          </w:p>
        </w:tc>
        <w:tc>
          <w:tcPr>
            <w:tcW w:w="1276" w:type="dxa"/>
            <w:tcBorders>
              <w:top w:val="nil"/>
              <w:left w:val="nil"/>
              <w:bottom w:val="single" w:sz="8" w:space="0" w:color="auto"/>
              <w:right w:val="single" w:sz="8" w:space="0" w:color="auto"/>
            </w:tcBorders>
            <w:shd w:val="clear" w:color="auto" w:fill="auto"/>
            <w:noWrap/>
            <w:vAlign w:val="center"/>
            <w:hideMark/>
          </w:tcPr>
          <w:p w:rsidR="00554058" w:rsidRDefault="00554058" w:rsidP="00554058">
            <w:pPr>
              <w:jc w:val="right"/>
              <w:rPr>
                <w:color w:val="000000"/>
                <w:sz w:val="18"/>
                <w:szCs w:val="18"/>
              </w:rPr>
            </w:pPr>
            <w:r>
              <w:rPr>
                <w:color w:val="000000"/>
                <w:sz w:val="18"/>
                <w:szCs w:val="18"/>
              </w:rPr>
              <w:t>-100,00%</w:t>
            </w:r>
          </w:p>
        </w:tc>
      </w:tr>
    </w:tbl>
    <w:p w:rsidR="00A709D1" w:rsidRPr="00FE016C" w:rsidRDefault="00A709D1" w:rsidP="00A709D1">
      <w:pPr>
        <w:pStyle w:val="Ttulo1"/>
        <w:tabs>
          <w:tab w:val="left" w:pos="586"/>
          <w:tab w:val="left" w:pos="1276"/>
        </w:tabs>
        <w:spacing w:line="276" w:lineRule="auto"/>
        <w:ind w:left="0" w:right="505"/>
        <w:jc w:val="center"/>
        <w:rPr>
          <w:sz w:val="20"/>
        </w:rPr>
      </w:pPr>
      <w:r w:rsidRPr="00966CAB">
        <w:rPr>
          <w:sz w:val="18"/>
        </w:rPr>
        <w:t xml:space="preserve">Fuente: </w:t>
      </w:r>
      <w:r>
        <w:rPr>
          <w:sz w:val="18"/>
        </w:rPr>
        <w:t>Ejecución presupuestal</w:t>
      </w:r>
      <w:r w:rsidRPr="00966CAB">
        <w:rPr>
          <w:sz w:val="18"/>
        </w:rPr>
        <w:t xml:space="preserve"> - Subgerencia </w:t>
      </w:r>
      <w:r>
        <w:rPr>
          <w:sz w:val="18"/>
        </w:rPr>
        <w:t>Financiera</w:t>
      </w:r>
    </w:p>
    <w:p w:rsidR="00A709D1" w:rsidRDefault="00A709D1" w:rsidP="00A709D1">
      <w:pPr>
        <w:adjustRightInd w:val="0"/>
        <w:ind w:left="284"/>
        <w:jc w:val="both"/>
        <w:rPr>
          <w:rFonts w:eastAsia="Calibri"/>
        </w:rPr>
      </w:pPr>
    </w:p>
    <w:p w:rsidR="009F0A2B" w:rsidRDefault="00FD7FE4" w:rsidP="00EB2645">
      <w:pPr>
        <w:pStyle w:val="Textoindependiente"/>
        <w:spacing w:line="276" w:lineRule="auto"/>
        <w:ind w:left="302" w:right="114"/>
        <w:jc w:val="both"/>
        <w:rPr>
          <w:color w:val="000000" w:themeColor="text1"/>
        </w:rPr>
      </w:pPr>
      <w:r w:rsidRPr="00EA5CEE">
        <w:rPr>
          <w:color w:val="000000" w:themeColor="text1"/>
        </w:rPr>
        <w:t xml:space="preserve">Para el </w:t>
      </w:r>
      <w:r w:rsidR="00554058">
        <w:rPr>
          <w:color w:val="000000" w:themeColor="text1"/>
        </w:rPr>
        <w:t>segundo</w:t>
      </w:r>
      <w:r w:rsidRPr="00EA5CEE">
        <w:rPr>
          <w:color w:val="000000" w:themeColor="text1"/>
        </w:rPr>
        <w:t xml:space="preserve"> </w:t>
      </w:r>
      <w:r w:rsidR="00945E2E" w:rsidRPr="00EA5CEE">
        <w:rPr>
          <w:color w:val="000000" w:themeColor="text1"/>
        </w:rPr>
        <w:t>trimestre</w:t>
      </w:r>
      <w:r w:rsidRPr="00EA5CEE">
        <w:rPr>
          <w:color w:val="000000" w:themeColor="text1"/>
        </w:rPr>
        <w:t xml:space="preserve"> de la vigencia 201</w:t>
      </w:r>
      <w:r w:rsidR="00554058">
        <w:rPr>
          <w:color w:val="000000" w:themeColor="text1"/>
        </w:rPr>
        <w:t>9</w:t>
      </w:r>
      <w:r w:rsidRPr="00EA5CEE">
        <w:rPr>
          <w:color w:val="000000" w:themeColor="text1"/>
        </w:rPr>
        <w:t xml:space="preserve"> l</w:t>
      </w:r>
      <w:r w:rsidR="0014227F" w:rsidRPr="00EA5CEE">
        <w:rPr>
          <w:color w:val="000000" w:themeColor="text1"/>
        </w:rPr>
        <w:t>os gastos de mantenimiento de mobiliario y equipo presentaron un</w:t>
      </w:r>
      <w:r w:rsidR="00AB5ACA">
        <w:rPr>
          <w:color w:val="000000" w:themeColor="text1"/>
        </w:rPr>
        <w:t>a</w:t>
      </w:r>
      <w:r w:rsidR="0014227F" w:rsidRPr="00EA5CEE">
        <w:rPr>
          <w:color w:val="000000" w:themeColor="text1"/>
        </w:rPr>
        <w:t xml:space="preserve"> </w:t>
      </w:r>
      <w:r w:rsidR="00AB5ACA">
        <w:rPr>
          <w:color w:val="000000" w:themeColor="text1"/>
        </w:rPr>
        <w:t>disminución</w:t>
      </w:r>
      <w:r w:rsidR="0014227F" w:rsidRPr="00EA5CEE">
        <w:rPr>
          <w:color w:val="000000" w:themeColor="text1"/>
        </w:rPr>
        <w:t xml:space="preserve"> de $</w:t>
      </w:r>
      <w:r w:rsidR="00AB5ACA">
        <w:rPr>
          <w:color w:val="000000" w:themeColor="text1"/>
        </w:rPr>
        <w:t>13</w:t>
      </w:r>
      <w:r w:rsidR="0014227F" w:rsidRPr="00EA5CEE">
        <w:rPr>
          <w:color w:val="000000" w:themeColor="text1"/>
        </w:rPr>
        <w:t>.</w:t>
      </w:r>
      <w:r w:rsidR="008974DC">
        <w:rPr>
          <w:color w:val="000000" w:themeColor="text1"/>
        </w:rPr>
        <w:t>373.420</w:t>
      </w:r>
      <w:r w:rsidR="0014227F" w:rsidRPr="00EA5CEE">
        <w:rPr>
          <w:color w:val="000000" w:themeColor="text1"/>
        </w:rPr>
        <w:t xml:space="preserve">, </w:t>
      </w:r>
      <w:r w:rsidR="00FE53E5" w:rsidRPr="00EA5CEE">
        <w:rPr>
          <w:color w:val="000000" w:themeColor="text1"/>
        </w:rPr>
        <w:t>con</w:t>
      </w:r>
      <w:r w:rsidR="0014227F" w:rsidRPr="00EA5CEE">
        <w:rPr>
          <w:color w:val="000000" w:themeColor="text1"/>
        </w:rPr>
        <w:t xml:space="preserve"> una variación porcentual del </w:t>
      </w:r>
      <w:r w:rsidR="00AB5ACA">
        <w:rPr>
          <w:color w:val="000000" w:themeColor="text1"/>
        </w:rPr>
        <w:t>9</w:t>
      </w:r>
      <w:r w:rsidR="008974DC">
        <w:rPr>
          <w:color w:val="000000" w:themeColor="text1"/>
        </w:rPr>
        <w:t>5</w:t>
      </w:r>
      <w:r w:rsidR="0014227F" w:rsidRPr="00EA5CEE">
        <w:rPr>
          <w:color w:val="000000" w:themeColor="text1"/>
        </w:rPr>
        <w:t>,</w:t>
      </w:r>
      <w:r w:rsidR="008974DC">
        <w:rPr>
          <w:color w:val="000000" w:themeColor="text1"/>
        </w:rPr>
        <w:t>36</w:t>
      </w:r>
      <w:r w:rsidR="0014227F" w:rsidRPr="00EA5CEE">
        <w:rPr>
          <w:color w:val="000000" w:themeColor="text1"/>
        </w:rPr>
        <w:t>% comparado</w:t>
      </w:r>
      <w:r w:rsidR="00AB5ACA">
        <w:rPr>
          <w:color w:val="000000" w:themeColor="text1"/>
        </w:rPr>
        <w:t xml:space="preserve"> con el mismo periodo de</w:t>
      </w:r>
      <w:r w:rsidR="0014227F" w:rsidRPr="00EA5CEE">
        <w:rPr>
          <w:color w:val="000000" w:themeColor="text1"/>
        </w:rPr>
        <w:t xml:space="preserve"> la vigencia 201</w:t>
      </w:r>
      <w:r w:rsidR="00FB4D27">
        <w:rPr>
          <w:color w:val="000000" w:themeColor="text1"/>
        </w:rPr>
        <w:t>8</w:t>
      </w:r>
      <w:r w:rsidR="003E0429" w:rsidRPr="00EA5CEE">
        <w:rPr>
          <w:color w:val="000000" w:themeColor="text1"/>
        </w:rPr>
        <w:t>,</w:t>
      </w:r>
      <w:r w:rsidR="00945E2E" w:rsidRPr="00EA5CEE">
        <w:rPr>
          <w:color w:val="000000" w:themeColor="text1"/>
        </w:rPr>
        <w:t xml:space="preserve"> en cuanto a los gastos de mantenimiento de Edificaciones</w:t>
      </w:r>
      <w:r w:rsidR="00FB4D27">
        <w:rPr>
          <w:color w:val="000000" w:themeColor="text1"/>
        </w:rPr>
        <w:t xml:space="preserve"> se observa una disminución de</w:t>
      </w:r>
      <w:r w:rsidR="00945E2E" w:rsidRPr="00EA5CEE">
        <w:rPr>
          <w:color w:val="000000" w:themeColor="text1"/>
        </w:rPr>
        <w:t xml:space="preserve"> $</w:t>
      </w:r>
      <w:r w:rsidR="001C6E86">
        <w:rPr>
          <w:color w:val="000000" w:themeColor="text1"/>
        </w:rPr>
        <w:t>2</w:t>
      </w:r>
      <w:r w:rsidR="00FB4D27">
        <w:rPr>
          <w:color w:val="000000" w:themeColor="text1"/>
        </w:rPr>
        <w:t>.331</w:t>
      </w:r>
      <w:r w:rsidR="00945E2E" w:rsidRPr="00EA5CEE">
        <w:rPr>
          <w:color w:val="000000" w:themeColor="text1"/>
        </w:rPr>
        <w:t>.</w:t>
      </w:r>
      <w:r w:rsidR="00FB4D27">
        <w:rPr>
          <w:color w:val="000000" w:themeColor="text1"/>
        </w:rPr>
        <w:t>849</w:t>
      </w:r>
      <w:r w:rsidR="00945E2E" w:rsidRPr="00EA5CEE">
        <w:rPr>
          <w:color w:val="000000" w:themeColor="text1"/>
        </w:rPr>
        <w:t xml:space="preserve"> que representa un </w:t>
      </w:r>
      <w:r w:rsidR="00FB4D27">
        <w:rPr>
          <w:color w:val="000000" w:themeColor="text1"/>
        </w:rPr>
        <w:t>68</w:t>
      </w:r>
      <w:r w:rsidR="00945E2E" w:rsidRPr="00EA5CEE">
        <w:rPr>
          <w:color w:val="000000" w:themeColor="text1"/>
        </w:rPr>
        <w:t>,</w:t>
      </w:r>
      <w:r w:rsidR="00FB4D27">
        <w:rPr>
          <w:color w:val="000000" w:themeColor="text1"/>
        </w:rPr>
        <w:t>20</w:t>
      </w:r>
      <w:r w:rsidR="00945E2E" w:rsidRPr="00EA5CEE">
        <w:rPr>
          <w:color w:val="000000" w:themeColor="text1"/>
        </w:rPr>
        <w:t xml:space="preserve">%, </w:t>
      </w:r>
      <w:r w:rsidR="00C33535" w:rsidRPr="00EA5CEE">
        <w:rPr>
          <w:color w:val="000000" w:themeColor="text1"/>
        </w:rPr>
        <w:t>así</w:t>
      </w:r>
      <w:r w:rsidR="00945E2E" w:rsidRPr="00EA5CEE">
        <w:rPr>
          <w:color w:val="000000" w:themeColor="text1"/>
        </w:rPr>
        <w:t xml:space="preserve"> mismo </w:t>
      </w:r>
      <w:r w:rsidR="00FB4D27">
        <w:rPr>
          <w:color w:val="000000" w:themeColor="text1"/>
        </w:rPr>
        <w:t xml:space="preserve">para el periodo objeto del presente seguimiento no se registran </w:t>
      </w:r>
      <w:r w:rsidR="00945E2E" w:rsidRPr="00EA5CEE">
        <w:rPr>
          <w:color w:val="000000" w:themeColor="text1"/>
        </w:rPr>
        <w:t xml:space="preserve">gastos </w:t>
      </w:r>
      <w:r w:rsidR="00FB4D27">
        <w:rPr>
          <w:color w:val="000000" w:themeColor="text1"/>
        </w:rPr>
        <w:t xml:space="preserve">por concepto </w:t>
      </w:r>
      <w:r w:rsidR="00945E2E" w:rsidRPr="00EA5CEE">
        <w:rPr>
          <w:color w:val="000000" w:themeColor="text1"/>
        </w:rPr>
        <w:t>de Contrato de Vigilancia</w:t>
      </w:r>
      <w:r w:rsidR="00763426" w:rsidRPr="00EA5CEE">
        <w:rPr>
          <w:color w:val="000000" w:themeColor="text1"/>
        </w:rPr>
        <w:t xml:space="preserve"> y Aseo</w:t>
      </w:r>
      <w:r w:rsidR="001C6E86">
        <w:rPr>
          <w:color w:val="000000" w:themeColor="text1"/>
        </w:rPr>
        <w:t xml:space="preserve">, lo cual podría estar relacionado con las fechas de </w:t>
      </w:r>
      <w:r w:rsidR="00301EEB">
        <w:rPr>
          <w:color w:val="000000" w:themeColor="text1"/>
        </w:rPr>
        <w:t>corte de pagos, por lo que OCI continuará anali</w:t>
      </w:r>
      <w:r w:rsidR="00AB5ACA">
        <w:rPr>
          <w:color w:val="000000" w:themeColor="text1"/>
        </w:rPr>
        <w:t>zando los resultados de</w:t>
      </w:r>
      <w:r w:rsidR="00FB4D27">
        <w:rPr>
          <w:color w:val="000000" w:themeColor="text1"/>
        </w:rPr>
        <w:t xml:space="preserve"> </w:t>
      </w:r>
      <w:r w:rsidR="00AB5ACA">
        <w:rPr>
          <w:color w:val="000000" w:themeColor="text1"/>
        </w:rPr>
        <w:t>l</w:t>
      </w:r>
      <w:r w:rsidR="00FB4D27">
        <w:rPr>
          <w:color w:val="000000" w:themeColor="text1"/>
        </w:rPr>
        <w:t>os</w:t>
      </w:r>
      <w:r w:rsidR="00AB5ACA">
        <w:rPr>
          <w:color w:val="000000" w:themeColor="text1"/>
        </w:rPr>
        <w:t xml:space="preserve"> trimestre</w:t>
      </w:r>
      <w:r w:rsidR="00FB4D27">
        <w:rPr>
          <w:color w:val="000000" w:themeColor="text1"/>
        </w:rPr>
        <w:t>s</w:t>
      </w:r>
      <w:r w:rsidR="00AB5ACA">
        <w:rPr>
          <w:color w:val="000000" w:themeColor="text1"/>
        </w:rPr>
        <w:t xml:space="preserve"> restante</w:t>
      </w:r>
      <w:r w:rsidR="00FB4D27">
        <w:rPr>
          <w:color w:val="000000" w:themeColor="text1"/>
        </w:rPr>
        <w:t>s</w:t>
      </w:r>
      <w:r w:rsidR="00301EEB">
        <w:rPr>
          <w:color w:val="000000" w:themeColor="text1"/>
        </w:rPr>
        <w:t xml:space="preserve"> con lo cual se tendrá un valor acumulado que permitirá emitir una conclusión.</w:t>
      </w:r>
    </w:p>
    <w:p w:rsidR="00250183" w:rsidRDefault="00250183" w:rsidP="00EB2645">
      <w:pPr>
        <w:pStyle w:val="Textoindependiente"/>
        <w:spacing w:line="276" w:lineRule="auto"/>
        <w:ind w:left="302" w:right="114"/>
        <w:jc w:val="both"/>
        <w:rPr>
          <w:color w:val="000000" w:themeColor="text1"/>
        </w:rPr>
      </w:pPr>
    </w:p>
    <w:p w:rsidR="00FA25A5" w:rsidRDefault="00FA25A5" w:rsidP="00FA25A5">
      <w:pPr>
        <w:pStyle w:val="Textoindependiente"/>
        <w:spacing w:line="276" w:lineRule="auto"/>
        <w:ind w:left="302" w:right="114"/>
        <w:jc w:val="center"/>
        <w:rPr>
          <w:color w:val="000000" w:themeColor="text1"/>
        </w:rPr>
      </w:pPr>
      <w:r>
        <w:rPr>
          <w:noProof/>
          <w:lang w:bidi="ar-SA"/>
        </w:rPr>
        <w:drawing>
          <wp:inline distT="0" distB="0" distL="0" distR="0" wp14:anchorId="6086EF91" wp14:editId="18CF2804">
            <wp:extent cx="5612130" cy="3110230"/>
            <wp:effectExtent l="0" t="0" r="26670" b="1397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09D1" w:rsidRPr="00FE016C" w:rsidRDefault="00A709D1" w:rsidP="00A709D1">
      <w:pPr>
        <w:pStyle w:val="Ttulo1"/>
        <w:tabs>
          <w:tab w:val="left" w:pos="586"/>
          <w:tab w:val="left" w:pos="1276"/>
        </w:tabs>
        <w:spacing w:line="276" w:lineRule="auto"/>
        <w:ind w:left="0" w:right="505"/>
        <w:jc w:val="center"/>
        <w:rPr>
          <w:sz w:val="20"/>
        </w:rPr>
      </w:pPr>
      <w:r w:rsidRPr="00966CAB">
        <w:rPr>
          <w:sz w:val="18"/>
        </w:rPr>
        <w:t xml:space="preserve">Fuente: </w:t>
      </w:r>
      <w:r>
        <w:rPr>
          <w:sz w:val="18"/>
        </w:rPr>
        <w:t>Ejecución presupuestal</w:t>
      </w:r>
      <w:r w:rsidRPr="00966CAB">
        <w:rPr>
          <w:sz w:val="18"/>
        </w:rPr>
        <w:t xml:space="preserve"> - Subgerencia </w:t>
      </w:r>
      <w:r>
        <w:rPr>
          <w:sz w:val="18"/>
        </w:rPr>
        <w:t>Financiera</w:t>
      </w:r>
    </w:p>
    <w:p w:rsidR="00A709D1" w:rsidRDefault="00A709D1" w:rsidP="00A709D1">
      <w:pPr>
        <w:adjustRightInd w:val="0"/>
        <w:ind w:left="284"/>
        <w:jc w:val="both"/>
        <w:rPr>
          <w:rFonts w:eastAsia="Calibri"/>
        </w:rPr>
      </w:pPr>
    </w:p>
    <w:p w:rsidR="00E11B71" w:rsidRDefault="00301EEB" w:rsidP="00FE53E5">
      <w:pPr>
        <w:pStyle w:val="Textoindependiente"/>
        <w:spacing w:before="8" w:line="276" w:lineRule="auto"/>
        <w:jc w:val="both"/>
      </w:pPr>
      <w:r w:rsidRPr="00A709D1">
        <w:t xml:space="preserve">En la gráfica anterior se hace un comparativo de los cinco últimos trimestres </w:t>
      </w:r>
      <w:r w:rsidR="00590B62" w:rsidRPr="00A709D1">
        <w:t>de las vigencias 201</w:t>
      </w:r>
      <w:r w:rsidR="00272353">
        <w:t>8</w:t>
      </w:r>
      <w:r w:rsidR="00590B62" w:rsidRPr="00A709D1">
        <w:t xml:space="preserve"> y 201</w:t>
      </w:r>
      <w:r w:rsidR="00272353">
        <w:t>9</w:t>
      </w:r>
      <w:r w:rsidR="00590B62" w:rsidRPr="00A709D1">
        <w:t xml:space="preserve"> </w:t>
      </w:r>
      <w:r w:rsidR="00E46315" w:rsidRPr="00A709D1">
        <w:t xml:space="preserve">de los gastos por concepto de: Mantenimiento de mobiliario y equipo, mantenimiento de edificaciones </w:t>
      </w:r>
      <w:r w:rsidR="00A709D1">
        <w:t>y contrato de vigilancia y aseo.</w:t>
      </w:r>
    </w:p>
    <w:p w:rsidR="00FE53E5" w:rsidRPr="00EB2645" w:rsidRDefault="00FE53E5" w:rsidP="00CB60E7">
      <w:pPr>
        <w:pStyle w:val="Textoindependiente"/>
        <w:spacing w:before="8" w:line="276" w:lineRule="auto"/>
      </w:pPr>
    </w:p>
    <w:p w:rsidR="001322FF" w:rsidRDefault="001322FF">
      <w:pPr>
        <w:pStyle w:val="Textoindependiente"/>
        <w:spacing w:before="8"/>
        <w:rPr>
          <w:sz w:val="19"/>
        </w:rPr>
      </w:pPr>
    </w:p>
    <w:p w:rsidR="00D3757C" w:rsidRDefault="00CB4616" w:rsidP="00F20A2E">
      <w:pPr>
        <w:pStyle w:val="Ttulo1"/>
        <w:numPr>
          <w:ilvl w:val="0"/>
          <w:numId w:val="1"/>
        </w:numPr>
        <w:tabs>
          <w:tab w:val="left" w:pos="1009"/>
          <w:tab w:val="left" w:pos="1010"/>
        </w:tabs>
        <w:ind w:firstLine="0"/>
      </w:pPr>
      <w:r>
        <w:t>GASTOS DE SERVICIOS</w:t>
      </w:r>
      <w:r>
        <w:rPr>
          <w:spacing w:val="1"/>
        </w:rPr>
        <w:t xml:space="preserve"> </w:t>
      </w:r>
      <w:r w:rsidR="00E35888">
        <w:t>PUBLICOS</w:t>
      </w:r>
    </w:p>
    <w:p w:rsidR="00E35888" w:rsidRDefault="00E35888" w:rsidP="00E35888">
      <w:pPr>
        <w:pStyle w:val="Ttulo1"/>
        <w:tabs>
          <w:tab w:val="left" w:pos="1009"/>
          <w:tab w:val="left" w:pos="1010"/>
        </w:tabs>
        <w:ind w:left="302"/>
      </w:pPr>
    </w:p>
    <w:p w:rsidR="00D6416F" w:rsidRPr="00D6416F" w:rsidRDefault="00D6416F" w:rsidP="00D6416F">
      <w:pPr>
        <w:pStyle w:val="Ttulo1"/>
        <w:tabs>
          <w:tab w:val="left" w:pos="1009"/>
          <w:tab w:val="left" w:pos="1010"/>
        </w:tabs>
        <w:ind w:left="302"/>
        <w:jc w:val="both"/>
        <w:rPr>
          <w:b w:val="0"/>
          <w:bCs w:val="0"/>
          <w:color w:val="000000" w:themeColor="text1"/>
        </w:rPr>
      </w:pPr>
      <w:r w:rsidRPr="00D6416F">
        <w:rPr>
          <w:b w:val="0"/>
          <w:bCs w:val="0"/>
          <w:color w:val="000000" w:themeColor="text1"/>
        </w:rPr>
        <w:t>Está compuesto por todos los gastos que se generan en la empresa por concepto de servicios públicos que se requieren para el funcionamiento óptimo de la organización.</w:t>
      </w:r>
    </w:p>
    <w:p w:rsidR="00613345" w:rsidRDefault="00613345" w:rsidP="00613345">
      <w:pPr>
        <w:pStyle w:val="Ttulo1"/>
        <w:tabs>
          <w:tab w:val="left" w:pos="1009"/>
          <w:tab w:val="left" w:pos="1010"/>
        </w:tabs>
      </w:pPr>
    </w:p>
    <w:tbl>
      <w:tblPr>
        <w:tblW w:w="9409" w:type="dxa"/>
        <w:tblInd w:w="55" w:type="dxa"/>
        <w:tblCellMar>
          <w:left w:w="70" w:type="dxa"/>
          <w:right w:w="70" w:type="dxa"/>
        </w:tblCellMar>
        <w:tblLook w:val="04A0" w:firstRow="1" w:lastRow="0" w:firstColumn="1" w:lastColumn="0" w:noHBand="0" w:noVBand="1"/>
      </w:tblPr>
      <w:tblGrid>
        <w:gridCol w:w="2567"/>
        <w:gridCol w:w="1430"/>
        <w:gridCol w:w="1430"/>
        <w:gridCol w:w="1430"/>
        <w:gridCol w:w="1418"/>
        <w:gridCol w:w="1134"/>
      </w:tblGrid>
      <w:tr w:rsidR="00584011" w:rsidRPr="00613345" w:rsidTr="00AE4DE5">
        <w:trPr>
          <w:trHeight w:val="623"/>
        </w:trPr>
        <w:tc>
          <w:tcPr>
            <w:tcW w:w="2567"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584011" w:rsidRPr="00613345" w:rsidRDefault="00584011" w:rsidP="00613345">
            <w:pPr>
              <w:widowControl/>
              <w:autoSpaceDE/>
              <w:autoSpaceDN/>
              <w:rPr>
                <w:rFonts w:eastAsia="Times New Roman"/>
                <w:b/>
                <w:bCs/>
                <w:color w:val="000000"/>
                <w:sz w:val="18"/>
                <w:szCs w:val="18"/>
                <w:lang w:bidi="ar-SA"/>
              </w:rPr>
            </w:pPr>
            <w:r w:rsidRPr="00613345">
              <w:rPr>
                <w:rFonts w:eastAsia="Times New Roman"/>
                <w:b/>
                <w:bCs/>
                <w:color w:val="000000"/>
                <w:sz w:val="18"/>
                <w:szCs w:val="18"/>
                <w:lang w:bidi="ar-SA"/>
              </w:rPr>
              <w:t xml:space="preserve">        Concepto</w:t>
            </w:r>
          </w:p>
        </w:tc>
        <w:tc>
          <w:tcPr>
            <w:tcW w:w="1430" w:type="dxa"/>
            <w:tcBorders>
              <w:top w:val="single" w:sz="4" w:space="0" w:color="auto"/>
              <w:left w:val="nil"/>
              <w:bottom w:val="single" w:sz="4" w:space="0" w:color="auto"/>
              <w:right w:val="single" w:sz="4" w:space="0" w:color="auto"/>
            </w:tcBorders>
            <w:shd w:val="clear" w:color="000000" w:fill="FFC000"/>
            <w:vAlign w:val="center"/>
            <w:hideMark/>
          </w:tcPr>
          <w:p w:rsidR="00584011" w:rsidRDefault="00584011">
            <w:pPr>
              <w:jc w:val="center"/>
              <w:rPr>
                <w:rFonts w:ascii="Calibri" w:hAnsi="Calibri"/>
                <w:b/>
                <w:bCs/>
                <w:color w:val="000000"/>
              </w:rPr>
            </w:pPr>
            <w:r>
              <w:rPr>
                <w:rFonts w:ascii="Calibri" w:hAnsi="Calibri"/>
                <w:b/>
                <w:bCs/>
                <w:color w:val="000000"/>
              </w:rPr>
              <w:t>Segundo Trimestre 2017</w:t>
            </w:r>
          </w:p>
        </w:tc>
        <w:tc>
          <w:tcPr>
            <w:tcW w:w="1430" w:type="dxa"/>
            <w:tcBorders>
              <w:top w:val="single" w:sz="4" w:space="0" w:color="auto"/>
              <w:left w:val="nil"/>
              <w:bottom w:val="single" w:sz="4" w:space="0" w:color="auto"/>
              <w:right w:val="single" w:sz="4" w:space="0" w:color="auto"/>
            </w:tcBorders>
            <w:shd w:val="clear" w:color="000000" w:fill="FFC000"/>
            <w:vAlign w:val="center"/>
            <w:hideMark/>
          </w:tcPr>
          <w:p w:rsidR="00584011" w:rsidRDefault="00584011">
            <w:pPr>
              <w:jc w:val="center"/>
              <w:rPr>
                <w:rFonts w:ascii="Calibri" w:hAnsi="Calibri"/>
                <w:b/>
                <w:bCs/>
                <w:color w:val="000000"/>
              </w:rPr>
            </w:pPr>
            <w:r>
              <w:rPr>
                <w:rFonts w:ascii="Calibri" w:hAnsi="Calibri"/>
                <w:b/>
                <w:bCs/>
                <w:color w:val="000000"/>
              </w:rPr>
              <w:t>Segundo Trimestre 2018</w:t>
            </w:r>
          </w:p>
        </w:tc>
        <w:tc>
          <w:tcPr>
            <w:tcW w:w="1430" w:type="dxa"/>
            <w:tcBorders>
              <w:top w:val="single" w:sz="4" w:space="0" w:color="auto"/>
              <w:left w:val="nil"/>
              <w:bottom w:val="single" w:sz="4" w:space="0" w:color="auto"/>
              <w:right w:val="single" w:sz="4" w:space="0" w:color="auto"/>
            </w:tcBorders>
            <w:shd w:val="clear" w:color="000000" w:fill="FFC000"/>
            <w:vAlign w:val="center"/>
            <w:hideMark/>
          </w:tcPr>
          <w:p w:rsidR="00584011" w:rsidRDefault="00584011">
            <w:pPr>
              <w:jc w:val="center"/>
              <w:rPr>
                <w:rFonts w:ascii="Calibri" w:hAnsi="Calibri"/>
                <w:b/>
                <w:bCs/>
                <w:color w:val="000000"/>
              </w:rPr>
            </w:pPr>
            <w:r>
              <w:rPr>
                <w:rFonts w:ascii="Calibri" w:hAnsi="Calibri"/>
                <w:b/>
                <w:bCs/>
                <w:color w:val="000000"/>
              </w:rPr>
              <w:t>Segundo Trimestre 2019</w:t>
            </w:r>
          </w:p>
        </w:tc>
        <w:tc>
          <w:tcPr>
            <w:tcW w:w="1418" w:type="dxa"/>
            <w:tcBorders>
              <w:top w:val="single" w:sz="4" w:space="0" w:color="auto"/>
              <w:left w:val="nil"/>
              <w:bottom w:val="single" w:sz="4" w:space="0" w:color="auto"/>
              <w:right w:val="single" w:sz="4" w:space="0" w:color="auto"/>
            </w:tcBorders>
            <w:shd w:val="clear" w:color="000000" w:fill="FFC000"/>
            <w:vAlign w:val="center"/>
            <w:hideMark/>
          </w:tcPr>
          <w:p w:rsidR="00584011" w:rsidRDefault="00584011">
            <w:pPr>
              <w:jc w:val="center"/>
              <w:rPr>
                <w:rFonts w:ascii="Calibri" w:hAnsi="Calibri"/>
                <w:b/>
                <w:bCs/>
                <w:color w:val="000000"/>
              </w:rPr>
            </w:pPr>
            <w:r>
              <w:rPr>
                <w:rFonts w:ascii="Calibri" w:hAnsi="Calibri"/>
                <w:b/>
                <w:bCs/>
                <w:color w:val="000000"/>
              </w:rPr>
              <w:t>Variación absoluta</w:t>
            </w:r>
          </w:p>
        </w:tc>
        <w:tc>
          <w:tcPr>
            <w:tcW w:w="1134" w:type="dxa"/>
            <w:tcBorders>
              <w:top w:val="single" w:sz="4" w:space="0" w:color="auto"/>
              <w:left w:val="nil"/>
              <w:bottom w:val="single" w:sz="4" w:space="0" w:color="auto"/>
              <w:right w:val="single" w:sz="4" w:space="0" w:color="auto"/>
            </w:tcBorders>
            <w:shd w:val="clear" w:color="000000" w:fill="FFC000"/>
            <w:vAlign w:val="center"/>
            <w:hideMark/>
          </w:tcPr>
          <w:p w:rsidR="00584011" w:rsidRDefault="00584011">
            <w:pPr>
              <w:jc w:val="center"/>
              <w:rPr>
                <w:rFonts w:ascii="Calibri" w:hAnsi="Calibri"/>
                <w:b/>
                <w:bCs/>
                <w:color w:val="000000"/>
              </w:rPr>
            </w:pPr>
            <w:r>
              <w:rPr>
                <w:rFonts w:ascii="Calibri" w:hAnsi="Calibri"/>
                <w:b/>
                <w:bCs/>
                <w:color w:val="000000"/>
              </w:rPr>
              <w:t>Variación porcentual</w:t>
            </w:r>
          </w:p>
        </w:tc>
      </w:tr>
      <w:tr w:rsidR="005A5EF1" w:rsidRPr="00613345" w:rsidTr="00AE4DE5">
        <w:trPr>
          <w:trHeight w:val="311"/>
        </w:trPr>
        <w:tc>
          <w:tcPr>
            <w:tcW w:w="2567" w:type="dxa"/>
            <w:tcBorders>
              <w:top w:val="nil"/>
              <w:left w:val="single" w:sz="4" w:space="0" w:color="auto"/>
              <w:bottom w:val="single" w:sz="4" w:space="0" w:color="auto"/>
              <w:right w:val="single" w:sz="4" w:space="0" w:color="auto"/>
            </w:tcBorders>
            <w:shd w:val="clear" w:color="000000" w:fill="FFC000"/>
            <w:noWrap/>
            <w:vAlign w:val="center"/>
            <w:hideMark/>
          </w:tcPr>
          <w:p w:rsidR="005A5EF1" w:rsidRPr="00613345" w:rsidRDefault="005A5EF1" w:rsidP="00613345">
            <w:pPr>
              <w:widowControl/>
              <w:autoSpaceDE/>
              <w:autoSpaceDN/>
              <w:rPr>
                <w:rFonts w:eastAsia="Times New Roman"/>
                <w:b/>
                <w:bCs/>
                <w:color w:val="000000"/>
                <w:sz w:val="18"/>
                <w:szCs w:val="18"/>
                <w:lang w:bidi="ar-SA"/>
              </w:rPr>
            </w:pPr>
            <w:r w:rsidRPr="00613345">
              <w:rPr>
                <w:rFonts w:eastAsia="Times New Roman"/>
                <w:b/>
                <w:bCs/>
                <w:color w:val="000000"/>
                <w:sz w:val="18"/>
                <w:szCs w:val="18"/>
                <w:lang w:bidi="ar-SA"/>
              </w:rPr>
              <w:t>Energía</w:t>
            </w:r>
          </w:p>
        </w:tc>
        <w:tc>
          <w:tcPr>
            <w:tcW w:w="1430"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color w:val="000000"/>
              </w:rPr>
            </w:pPr>
            <w:r>
              <w:rPr>
                <w:rFonts w:ascii="Calibri" w:hAnsi="Calibri"/>
                <w:color w:val="000000"/>
              </w:rPr>
              <w:t>14.500.211</w:t>
            </w:r>
          </w:p>
        </w:tc>
        <w:tc>
          <w:tcPr>
            <w:tcW w:w="1430" w:type="dxa"/>
            <w:tcBorders>
              <w:top w:val="nil"/>
              <w:left w:val="nil"/>
              <w:bottom w:val="nil"/>
              <w:right w:val="nil"/>
            </w:tcBorders>
            <w:shd w:val="clear" w:color="000000" w:fill="FFE599"/>
            <w:noWrap/>
            <w:vAlign w:val="center"/>
            <w:hideMark/>
          </w:tcPr>
          <w:p w:rsidR="005A5EF1" w:rsidRDefault="005A5EF1">
            <w:pPr>
              <w:jc w:val="center"/>
              <w:rPr>
                <w:rFonts w:ascii="Calibri" w:hAnsi="Calibri"/>
                <w:color w:val="000000"/>
              </w:rPr>
            </w:pPr>
            <w:r>
              <w:rPr>
                <w:rFonts w:ascii="Calibri" w:hAnsi="Calibri"/>
                <w:color w:val="000000"/>
              </w:rPr>
              <w:t>17.566.564</w:t>
            </w:r>
          </w:p>
        </w:tc>
        <w:tc>
          <w:tcPr>
            <w:tcW w:w="1430" w:type="dxa"/>
            <w:tcBorders>
              <w:top w:val="nil"/>
              <w:left w:val="single" w:sz="4" w:space="0" w:color="auto"/>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color w:val="000000"/>
              </w:rPr>
            </w:pPr>
            <w:r>
              <w:rPr>
                <w:rFonts w:ascii="Calibri" w:hAnsi="Calibri"/>
                <w:color w:val="000000"/>
              </w:rPr>
              <w:t>13.673.624</w:t>
            </w:r>
          </w:p>
        </w:tc>
        <w:tc>
          <w:tcPr>
            <w:tcW w:w="1418"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color w:val="000000"/>
              </w:rPr>
            </w:pPr>
            <w:r>
              <w:rPr>
                <w:rFonts w:ascii="Calibri" w:hAnsi="Calibri"/>
                <w:color w:val="000000"/>
              </w:rPr>
              <w:t>-3.892.940,00</w:t>
            </w:r>
          </w:p>
        </w:tc>
        <w:tc>
          <w:tcPr>
            <w:tcW w:w="1134"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color w:val="000000"/>
              </w:rPr>
            </w:pPr>
            <w:r>
              <w:rPr>
                <w:rFonts w:ascii="Calibri" w:hAnsi="Calibri"/>
                <w:color w:val="000000"/>
              </w:rPr>
              <w:t>-22,16%</w:t>
            </w:r>
          </w:p>
        </w:tc>
      </w:tr>
      <w:tr w:rsidR="005A5EF1" w:rsidRPr="00613345" w:rsidTr="00AE4DE5">
        <w:trPr>
          <w:trHeight w:val="311"/>
        </w:trPr>
        <w:tc>
          <w:tcPr>
            <w:tcW w:w="2567" w:type="dxa"/>
            <w:tcBorders>
              <w:top w:val="nil"/>
              <w:left w:val="single" w:sz="4" w:space="0" w:color="auto"/>
              <w:bottom w:val="single" w:sz="4" w:space="0" w:color="auto"/>
              <w:right w:val="single" w:sz="4" w:space="0" w:color="auto"/>
            </w:tcBorders>
            <w:shd w:val="clear" w:color="000000" w:fill="FFC000"/>
            <w:noWrap/>
            <w:vAlign w:val="center"/>
            <w:hideMark/>
          </w:tcPr>
          <w:p w:rsidR="005A5EF1" w:rsidRPr="00613345" w:rsidRDefault="005A5EF1" w:rsidP="00613345">
            <w:pPr>
              <w:widowControl/>
              <w:autoSpaceDE/>
              <w:autoSpaceDN/>
              <w:rPr>
                <w:rFonts w:eastAsia="Times New Roman"/>
                <w:b/>
                <w:bCs/>
                <w:color w:val="000000"/>
                <w:sz w:val="18"/>
                <w:szCs w:val="18"/>
                <w:lang w:bidi="ar-SA"/>
              </w:rPr>
            </w:pPr>
            <w:r w:rsidRPr="00613345">
              <w:rPr>
                <w:rFonts w:eastAsia="Times New Roman"/>
                <w:b/>
                <w:bCs/>
                <w:color w:val="000000"/>
                <w:sz w:val="18"/>
                <w:szCs w:val="18"/>
                <w:lang w:bidi="ar-SA"/>
              </w:rPr>
              <w:t>Telefonía Fija</w:t>
            </w:r>
          </w:p>
        </w:tc>
        <w:tc>
          <w:tcPr>
            <w:tcW w:w="1430" w:type="dxa"/>
            <w:tcBorders>
              <w:top w:val="nil"/>
              <w:left w:val="nil"/>
              <w:bottom w:val="single" w:sz="4" w:space="0" w:color="auto"/>
              <w:right w:val="single" w:sz="4" w:space="0" w:color="auto"/>
            </w:tcBorders>
            <w:shd w:val="clear" w:color="000000" w:fill="FFF2CC"/>
            <w:noWrap/>
            <w:vAlign w:val="center"/>
            <w:hideMark/>
          </w:tcPr>
          <w:p w:rsidR="005A5EF1" w:rsidRDefault="005A5EF1">
            <w:pPr>
              <w:jc w:val="center"/>
              <w:rPr>
                <w:rFonts w:ascii="Calibri" w:hAnsi="Calibri"/>
                <w:color w:val="000000"/>
              </w:rPr>
            </w:pPr>
            <w:r>
              <w:rPr>
                <w:rFonts w:ascii="Calibri" w:hAnsi="Calibri"/>
                <w:color w:val="000000"/>
              </w:rPr>
              <w:t>4.346.260</w:t>
            </w:r>
          </w:p>
        </w:tc>
        <w:tc>
          <w:tcPr>
            <w:tcW w:w="1430" w:type="dxa"/>
            <w:tcBorders>
              <w:top w:val="single" w:sz="4" w:space="0" w:color="auto"/>
              <w:left w:val="nil"/>
              <w:bottom w:val="single" w:sz="4" w:space="0" w:color="auto"/>
              <w:right w:val="single" w:sz="4" w:space="0" w:color="auto"/>
            </w:tcBorders>
            <w:shd w:val="clear" w:color="000000" w:fill="FFF2CC"/>
            <w:noWrap/>
            <w:vAlign w:val="center"/>
            <w:hideMark/>
          </w:tcPr>
          <w:p w:rsidR="005A5EF1" w:rsidRDefault="005A5EF1">
            <w:pPr>
              <w:jc w:val="center"/>
              <w:rPr>
                <w:rFonts w:ascii="Calibri" w:hAnsi="Calibri"/>
                <w:color w:val="000000"/>
              </w:rPr>
            </w:pPr>
            <w:r>
              <w:rPr>
                <w:rFonts w:ascii="Calibri" w:hAnsi="Calibri"/>
                <w:color w:val="000000"/>
              </w:rPr>
              <w:t>4.391.790</w:t>
            </w:r>
          </w:p>
        </w:tc>
        <w:tc>
          <w:tcPr>
            <w:tcW w:w="1430" w:type="dxa"/>
            <w:tcBorders>
              <w:top w:val="nil"/>
              <w:left w:val="nil"/>
              <w:bottom w:val="single" w:sz="4" w:space="0" w:color="auto"/>
              <w:right w:val="single" w:sz="4" w:space="0" w:color="auto"/>
            </w:tcBorders>
            <w:shd w:val="clear" w:color="000000" w:fill="FFF2CC"/>
            <w:noWrap/>
            <w:vAlign w:val="center"/>
            <w:hideMark/>
          </w:tcPr>
          <w:p w:rsidR="005A5EF1" w:rsidRDefault="005A5EF1">
            <w:pPr>
              <w:jc w:val="center"/>
              <w:rPr>
                <w:rFonts w:ascii="Calibri" w:hAnsi="Calibri"/>
                <w:color w:val="000000"/>
              </w:rPr>
            </w:pPr>
            <w:r>
              <w:rPr>
                <w:rFonts w:ascii="Calibri" w:hAnsi="Calibri"/>
                <w:color w:val="000000"/>
              </w:rPr>
              <w:t>3.528.367</w:t>
            </w:r>
          </w:p>
        </w:tc>
        <w:tc>
          <w:tcPr>
            <w:tcW w:w="1418" w:type="dxa"/>
            <w:tcBorders>
              <w:top w:val="nil"/>
              <w:left w:val="nil"/>
              <w:bottom w:val="single" w:sz="4" w:space="0" w:color="auto"/>
              <w:right w:val="single" w:sz="4" w:space="0" w:color="auto"/>
            </w:tcBorders>
            <w:shd w:val="clear" w:color="000000" w:fill="FFF2CC"/>
            <w:noWrap/>
            <w:vAlign w:val="center"/>
            <w:hideMark/>
          </w:tcPr>
          <w:p w:rsidR="005A5EF1" w:rsidRDefault="005A5EF1">
            <w:pPr>
              <w:jc w:val="center"/>
              <w:rPr>
                <w:rFonts w:ascii="Calibri" w:hAnsi="Calibri"/>
                <w:color w:val="000000"/>
              </w:rPr>
            </w:pPr>
            <w:r>
              <w:rPr>
                <w:rFonts w:ascii="Calibri" w:hAnsi="Calibri"/>
                <w:color w:val="000000"/>
              </w:rPr>
              <w:t>-863.423,00</w:t>
            </w:r>
          </w:p>
        </w:tc>
        <w:tc>
          <w:tcPr>
            <w:tcW w:w="1134" w:type="dxa"/>
            <w:tcBorders>
              <w:top w:val="nil"/>
              <w:left w:val="nil"/>
              <w:bottom w:val="single" w:sz="4" w:space="0" w:color="auto"/>
              <w:right w:val="single" w:sz="4" w:space="0" w:color="auto"/>
            </w:tcBorders>
            <w:shd w:val="clear" w:color="000000" w:fill="FFEBB3"/>
            <w:noWrap/>
            <w:vAlign w:val="center"/>
            <w:hideMark/>
          </w:tcPr>
          <w:p w:rsidR="005A5EF1" w:rsidRDefault="005A5EF1">
            <w:pPr>
              <w:jc w:val="center"/>
              <w:rPr>
                <w:rFonts w:ascii="Calibri" w:hAnsi="Calibri"/>
                <w:color w:val="000000"/>
              </w:rPr>
            </w:pPr>
            <w:r>
              <w:rPr>
                <w:rFonts w:ascii="Calibri" w:hAnsi="Calibri"/>
                <w:color w:val="000000"/>
              </w:rPr>
              <w:t>-19,66%</w:t>
            </w:r>
          </w:p>
        </w:tc>
      </w:tr>
      <w:tr w:rsidR="005A5EF1" w:rsidRPr="00613345" w:rsidTr="00AE4DE5">
        <w:trPr>
          <w:trHeight w:val="311"/>
        </w:trPr>
        <w:tc>
          <w:tcPr>
            <w:tcW w:w="2567" w:type="dxa"/>
            <w:tcBorders>
              <w:top w:val="nil"/>
              <w:left w:val="single" w:sz="4" w:space="0" w:color="auto"/>
              <w:bottom w:val="single" w:sz="4" w:space="0" w:color="auto"/>
              <w:right w:val="single" w:sz="4" w:space="0" w:color="auto"/>
            </w:tcBorders>
            <w:shd w:val="clear" w:color="000000" w:fill="FFC000"/>
            <w:noWrap/>
            <w:vAlign w:val="center"/>
            <w:hideMark/>
          </w:tcPr>
          <w:p w:rsidR="005A5EF1" w:rsidRPr="00613345" w:rsidRDefault="005A5EF1" w:rsidP="00613345">
            <w:pPr>
              <w:widowControl/>
              <w:autoSpaceDE/>
              <w:autoSpaceDN/>
              <w:rPr>
                <w:rFonts w:eastAsia="Times New Roman"/>
                <w:b/>
                <w:bCs/>
                <w:color w:val="000000"/>
                <w:sz w:val="18"/>
                <w:szCs w:val="18"/>
                <w:lang w:bidi="ar-SA"/>
              </w:rPr>
            </w:pPr>
            <w:r w:rsidRPr="00613345">
              <w:rPr>
                <w:rFonts w:eastAsia="Times New Roman"/>
                <w:b/>
                <w:bCs/>
                <w:color w:val="000000"/>
                <w:sz w:val="18"/>
                <w:szCs w:val="18"/>
                <w:lang w:bidi="ar-SA"/>
              </w:rPr>
              <w:t>Telefonía Móvil</w:t>
            </w:r>
          </w:p>
        </w:tc>
        <w:tc>
          <w:tcPr>
            <w:tcW w:w="1430"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color w:val="000000"/>
              </w:rPr>
            </w:pPr>
            <w:r>
              <w:rPr>
                <w:rFonts w:ascii="Calibri" w:hAnsi="Calibri"/>
                <w:color w:val="000000"/>
              </w:rPr>
              <w:t>2.436.760</w:t>
            </w:r>
          </w:p>
        </w:tc>
        <w:tc>
          <w:tcPr>
            <w:tcW w:w="1430"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color w:val="000000"/>
              </w:rPr>
            </w:pPr>
            <w:r>
              <w:rPr>
                <w:rFonts w:ascii="Calibri" w:hAnsi="Calibri"/>
                <w:color w:val="000000"/>
              </w:rPr>
              <w:t>2.459.803</w:t>
            </w:r>
          </w:p>
        </w:tc>
        <w:tc>
          <w:tcPr>
            <w:tcW w:w="1430"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color w:val="000000"/>
              </w:rPr>
            </w:pPr>
            <w:r>
              <w:rPr>
                <w:rFonts w:ascii="Calibri" w:hAnsi="Calibri"/>
                <w:color w:val="000000"/>
              </w:rPr>
              <w:t>1.849.586</w:t>
            </w:r>
          </w:p>
        </w:tc>
        <w:tc>
          <w:tcPr>
            <w:tcW w:w="1418"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color w:val="000000"/>
              </w:rPr>
            </w:pPr>
            <w:r>
              <w:rPr>
                <w:rFonts w:ascii="Calibri" w:hAnsi="Calibri"/>
                <w:color w:val="000000"/>
              </w:rPr>
              <w:t>-610.216,51</w:t>
            </w:r>
          </w:p>
        </w:tc>
        <w:tc>
          <w:tcPr>
            <w:tcW w:w="1134"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color w:val="000000"/>
              </w:rPr>
            </w:pPr>
            <w:r>
              <w:rPr>
                <w:rFonts w:ascii="Calibri" w:hAnsi="Calibri"/>
                <w:color w:val="000000"/>
              </w:rPr>
              <w:t>-24,81%</w:t>
            </w:r>
          </w:p>
        </w:tc>
      </w:tr>
      <w:tr w:rsidR="005A5EF1" w:rsidRPr="00613345" w:rsidTr="00AE4DE5">
        <w:trPr>
          <w:trHeight w:val="311"/>
        </w:trPr>
        <w:tc>
          <w:tcPr>
            <w:tcW w:w="2567" w:type="dxa"/>
            <w:tcBorders>
              <w:top w:val="nil"/>
              <w:left w:val="single" w:sz="4" w:space="0" w:color="auto"/>
              <w:bottom w:val="single" w:sz="4" w:space="0" w:color="auto"/>
              <w:right w:val="single" w:sz="4" w:space="0" w:color="auto"/>
            </w:tcBorders>
            <w:shd w:val="clear" w:color="000000" w:fill="FFC000"/>
            <w:noWrap/>
            <w:vAlign w:val="center"/>
            <w:hideMark/>
          </w:tcPr>
          <w:p w:rsidR="005A5EF1" w:rsidRPr="00613345" w:rsidRDefault="005A5EF1" w:rsidP="00613345">
            <w:pPr>
              <w:widowControl/>
              <w:autoSpaceDE/>
              <w:autoSpaceDN/>
              <w:rPr>
                <w:rFonts w:eastAsia="Times New Roman"/>
                <w:b/>
                <w:bCs/>
                <w:color w:val="000000"/>
                <w:sz w:val="18"/>
                <w:szCs w:val="18"/>
                <w:lang w:bidi="ar-SA"/>
              </w:rPr>
            </w:pPr>
            <w:r w:rsidRPr="00613345">
              <w:rPr>
                <w:rFonts w:eastAsia="Times New Roman"/>
                <w:b/>
                <w:bCs/>
                <w:color w:val="000000"/>
                <w:sz w:val="18"/>
                <w:szCs w:val="18"/>
                <w:lang w:bidi="ar-SA"/>
              </w:rPr>
              <w:t>Acueducto y Alcantarillado</w:t>
            </w:r>
          </w:p>
        </w:tc>
        <w:tc>
          <w:tcPr>
            <w:tcW w:w="1430" w:type="dxa"/>
            <w:tcBorders>
              <w:top w:val="nil"/>
              <w:left w:val="nil"/>
              <w:bottom w:val="single" w:sz="4" w:space="0" w:color="auto"/>
              <w:right w:val="single" w:sz="4" w:space="0" w:color="auto"/>
            </w:tcBorders>
            <w:shd w:val="clear" w:color="000000" w:fill="FFF2CC"/>
            <w:noWrap/>
            <w:vAlign w:val="center"/>
            <w:hideMark/>
          </w:tcPr>
          <w:p w:rsidR="005A5EF1" w:rsidRDefault="005A5EF1">
            <w:pPr>
              <w:jc w:val="center"/>
              <w:rPr>
                <w:rFonts w:ascii="Calibri" w:hAnsi="Calibri"/>
                <w:color w:val="000000"/>
              </w:rPr>
            </w:pPr>
            <w:r>
              <w:rPr>
                <w:rFonts w:ascii="Calibri" w:hAnsi="Calibri"/>
                <w:color w:val="000000"/>
              </w:rPr>
              <w:t>1.639.160</w:t>
            </w:r>
          </w:p>
        </w:tc>
        <w:tc>
          <w:tcPr>
            <w:tcW w:w="1430" w:type="dxa"/>
            <w:tcBorders>
              <w:top w:val="nil"/>
              <w:left w:val="nil"/>
              <w:bottom w:val="single" w:sz="4" w:space="0" w:color="auto"/>
              <w:right w:val="single" w:sz="4" w:space="0" w:color="auto"/>
            </w:tcBorders>
            <w:shd w:val="clear" w:color="000000" w:fill="FFF2CC"/>
            <w:noWrap/>
            <w:vAlign w:val="center"/>
            <w:hideMark/>
          </w:tcPr>
          <w:p w:rsidR="005A5EF1" w:rsidRDefault="005A5EF1">
            <w:pPr>
              <w:jc w:val="center"/>
              <w:rPr>
                <w:rFonts w:ascii="Calibri" w:hAnsi="Calibri"/>
                <w:color w:val="000000"/>
              </w:rPr>
            </w:pPr>
            <w:r>
              <w:rPr>
                <w:rFonts w:ascii="Calibri" w:hAnsi="Calibri"/>
                <w:color w:val="000000"/>
              </w:rPr>
              <w:t>2.930.490</w:t>
            </w:r>
          </w:p>
        </w:tc>
        <w:tc>
          <w:tcPr>
            <w:tcW w:w="1430" w:type="dxa"/>
            <w:tcBorders>
              <w:top w:val="nil"/>
              <w:left w:val="nil"/>
              <w:bottom w:val="single" w:sz="4" w:space="0" w:color="auto"/>
              <w:right w:val="single" w:sz="4" w:space="0" w:color="auto"/>
            </w:tcBorders>
            <w:shd w:val="clear" w:color="000000" w:fill="FFF2CC"/>
            <w:noWrap/>
            <w:vAlign w:val="center"/>
            <w:hideMark/>
          </w:tcPr>
          <w:p w:rsidR="005A5EF1" w:rsidRDefault="005A5EF1">
            <w:pPr>
              <w:jc w:val="center"/>
              <w:rPr>
                <w:color w:val="000000"/>
                <w:sz w:val="18"/>
                <w:szCs w:val="18"/>
              </w:rPr>
            </w:pPr>
            <w:r>
              <w:rPr>
                <w:color w:val="000000"/>
                <w:sz w:val="18"/>
                <w:szCs w:val="18"/>
              </w:rPr>
              <w:t>2.373.615</w:t>
            </w:r>
          </w:p>
        </w:tc>
        <w:tc>
          <w:tcPr>
            <w:tcW w:w="1418" w:type="dxa"/>
            <w:tcBorders>
              <w:top w:val="nil"/>
              <w:left w:val="nil"/>
              <w:bottom w:val="single" w:sz="4" w:space="0" w:color="auto"/>
              <w:right w:val="single" w:sz="4" w:space="0" w:color="auto"/>
            </w:tcBorders>
            <w:shd w:val="clear" w:color="000000" w:fill="FFF2CC"/>
            <w:noWrap/>
            <w:vAlign w:val="center"/>
            <w:hideMark/>
          </w:tcPr>
          <w:p w:rsidR="005A5EF1" w:rsidRDefault="005A5EF1">
            <w:pPr>
              <w:jc w:val="center"/>
              <w:rPr>
                <w:rFonts w:ascii="Calibri" w:hAnsi="Calibri"/>
                <w:color w:val="000000"/>
              </w:rPr>
            </w:pPr>
            <w:r>
              <w:rPr>
                <w:rFonts w:ascii="Calibri" w:hAnsi="Calibri"/>
                <w:color w:val="000000"/>
              </w:rPr>
              <w:t>-556.875,00</w:t>
            </w:r>
          </w:p>
        </w:tc>
        <w:tc>
          <w:tcPr>
            <w:tcW w:w="1134"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color w:val="000000"/>
              </w:rPr>
            </w:pPr>
            <w:r>
              <w:rPr>
                <w:rFonts w:ascii="Calibri" w:hAnsi="Calibri"/>
                <w:color w:val="000000"/>
              </w:rPr>
              <w:t>-19,00%</w:t>
            </w:r>
          </w:p>
        </w:tc>
      </w:tr>
      <w:tr w:rsidR="005A5EF1" w:rsidRPr="00613345" w:rsidTr="00AE4DE5">
        <w:trPr>
          <w:trHeight w:val="311"/>
        </w:trPr>
        <w:tc>
          <w:tcPr>
            <w:tcW w:w="2567" w:type="dxa"/>
            <w:tcBorders>
              <w:top w:val="nil"/>
              <w:left w:val="single" w:sz="4" w:space="0" w:color="auto"/>
              <w:bottom w:val="single" w:sz="4" w:space="0" w:color="auto"/>
              <w:right w:val="single" w:sz="4" w:space="0" w:color="auto"/>
            </w:tcBorders>
            <w:shd w:val="clear" w:color="000000" w:fill="FFC000"/>
            <w:noWrap/>
            <w:vAlign w:val="center"/>
            <w:hideMark/>
          </w:tcPr>
          <w:p w:rsidR="005A5EF1" w:rsidRPr="00613345" w:rsidRDefault="005A5EF1" w:rsidP="00613345">
            <w:pPr>
              <w:widowControl/>
              <w:autoSpaceDE/>
              <w:autoSpaceDN/>
              <w:rPr>
                <w:rFonts w:eastAsia="Times New Roman"/>
                <w:b/>
                <w:bCs/>
                <w:color w:val="000000"/>
                <w:sz w:val="18"/>
                <w:szCs w:val="18"/>
                <w:lang w:bidi="ar-SA"/>
              </w:rPr>
            </w:pPr>
            <w:r w:rsidRPr="00613345">
              <w:rPr>
                <w:rFonts w:eastAsia="Times New Roman"/>
                <w:b/>
                <w:bCs/>
                <w:color w:val="000000"/>
                <w:sz w:val="18"/>
                <w:szCs w:val="18"/>
                <w:lang w:bidi="ar-SA"/>
              </w:rPr>
              <w:t>Total</w:t>
            </w:r>
          </w:p>
        </w:tc>
        <w:tc>
          <w:tcPr>
            <w:tcW w:w="1430"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b/>
                <w:bCs/>
                <w:color w:val="000000"/>
              </w:rPr>
            </w:pPr>
            <w:r>
              <w:rPr>
                <w:rFonts w:ascii="Calibri" w:hAnsi="Calibri"/>
                <w:b/>
                <w:bCs/>
                <w:color w:val="000000"/>
              </w:rPr>
              <w:t>22.922.391,00</w:t>
            </w:r>
          </w:p>
        </w:tc>
        <w:tc>
          <w:tcPr>
            <w:tcW w:w="1430"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b/>
                <w:bCs/>
                <w:color w:val="000000"/>
              </w:rPr>
            </w:pPr>
            <w:r>
              <w:rPr>
                <w:rFonts w:ascii="Calibri" w:hAnsi="Calibri"/>
                <w:b/>
                <w:bCs/>
                <w:color w:val="000000"/>
              </w:rPr>
              <w:t>27.348.647,00</w:t>
            </w:r>
          </w:p>
        </w:tc>
        <w:tc>
          <w:tcPr>
            <w:tcW w:w="1430"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b/>
                <w:bCs/>
                <w:color w:val="000000"/>
              </w:rPr>
            </w:pPr>
            <w:r>
              <w:rPr>
                <w:rFonts w:ascii="Calibri" w:hAnsi="Calibri"/>
                <w:b/>
                <w:bCs/>
                <w:color w:val="000000"/>
              </w:rPr>
              <w:t>21.425.192,49</w:t>
            </w:r>
          </w:p>
        </w:tc>
        <w:tc>
          <w:tcPr>
            <w:tcW w:w="1418"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b/>
                <w:bCs/>
                <w:color w:val="000000"/>
              </w:rPr>
            </w:pPr>
            <w:r>
              <w:rPr>
                <w:rFonts w:ascii="Calibri" w:hAnsi="Calibri"/>
                <w:b/>
                <w:bCs/>
                <w:color w:val="000000"/>
              </w:rPr>
              <w:t>-5.923.454,51</w:t>
            </w:r>
          </w:p>
        </w:tc>
        <w:tc>
          <w:tcPr>
            <w:tcW w:w="1134" w:type="dxa"/>
            <w:tcBorders>
              <w:top w:val="nil"/>
              <w:left w:val="nil"/>
              <w:bottom w:val="single" w:sz="4" w:space="0" w:color="auto"/>
              <w:right w:val="single" w:sz="4" w:space="0" w:color="auto"/>
            </w:tcBorders>
            <w:shd w:val="clear" w:color="000000" w:fill="FFE599"/>
            <w:noWrap/>
            <w:vAlign w:val="center"/>
            <w:hideMark/>
          </w:tcPr>
          <w:p w:rsidR="005A5EF1" w:rsidRDefault="005A5EF1">
            <w:pPr>
              <w:jc w:val="center"/>
              <w:rPr>
                <w:rFonts w:ascii="Calibri" w:hAnsi="Calibri"/>
                <w:b/>
                <w:bCs/>
                <w:color w:val="000000"/>
              </w:rPr>
            </w:pPr>
            <w:r>
              <w:rPr>
                <w:rFonts w:ascii="Calibri" w:hAnsi="Calibri"/>
                <w:b/>
                <w:bCs/>
                <w:color w:val="000000"/>
              </w:rPr>
              <w:t>-21,66%</w:t>
            </w:r>
          </w:p>
        </w:tc>
      </w:tr>
    </w:tbl>
    <w:p w:rsidR="00A709D1" w:rsidRDefault="00A709D1" w:rsidP="00AF06A9">
      <w:pPr>
        <w:pStyle w:val="Ttulo1"/>
        <w:tabs>
          <w:tab w:val="left" w:pos="586"/>
          <w:tab w:val="left" w:pos="1276"/>
        </w:tabs>
        <w:spacing w:line="276" w:lineRule="auto"/>
        <w:ind w:left="0" w:right="505"/>
        <w:jc w:val="center"/>
        <w:rPr>
          <w:sz w:val="18"/>
        </w:rPr>
      </w:pPr>
      <w:r w:rsidRPr="00966CAB">
        <w:rPr>
          <w:sz w:val="18"/>
        </w:rPr>
        <w:t>Fuente: Informe de Austeridad - Subgerencia Administrativa</w:t>
      </w:r>
    </w:p>
    <w:p w:rsidR="00A709D1" w:rsidRDefault="00A709D1" w:rsidP="00613345">
      <w:pPr>
        <w:pStyle w:val="Ttulo1"/>
        <w:tabs>
          <w:tab w:val="left" w:pos="1009"/>
          <w:tab w:val="left" w:pos="1010"/>
        </w:tabs>
      </w:pPr>
    </w:p>
    <w:p w:rsidR="00261143" w:rsidRPr="00B92FB3" w:rsidRDefault="00261143" w:rsidP="00261143">
      <w:pPr>
        <w:pStyle w:val="Textocomentario"/>
        <w:jc w:val="both"/>
        <w:rPr>
          <w:rFonts w:ascii="Arial" w:eastAsia="Calibri" w:hAnsi="Arial" w:cs="Arial"/>
          <w:sz w:val="22"/>
          <w:szCs w:val="22"/>
          <w:lang w:val="es-CO" w:eastAsia="es-CO"/>
        </w:rPr>
      </w:pPr>
      <w:r w:rsidRPr="009B4B87">
        <w:rPr>
          <w:rFonts w:ascii="Arial" w:eastAsia="Calibri" w:hAnsi="Arial" w:cs="Arial"/>
          <w:sz w:val="22"/>
          <w:szCs w:val="22"/>
          <w:lang w:val="es-CO" w:eastAsia="es-CO"/>
        </w:rPr>
        <w:t xml:space="preserve">De acuerdo con la tabla de variaciones, se observa de manera general </w:t>
      </w:r>
      <w:r w:rsidR="00107BB8">
        <w:rPr>
          <w:rFonts w:ascii="Arial" w:eastAsia="Calibri" w:hAnsi="Arial" w:cs="Arial"/>
          <w:sz w:val="22"/>
          <w:szCs w:val="22"/>
          <w:lang w:val="es-CO" w:eastAsia="es-CO"/>
        </w:rPr>
        <w:t>una disminución</w:t>
      </w:r>
      <w:r>
        <w:rPr>
          <w:rFonts w:ascii="Arial" w:eastAsia="Calibri" w:hAnsi="Arial" w:cs="Arial"/>
          <w:sz w:val="22"/>
          <w:szCs w:val="22"/>
          <w:lang w:val="es-CO" w:eastAsia="es-CO"/>
        </w:rPr>
        <w:t xml:space="preserve"> </w:t>
      </w:r>
      <w:r w:rsidRPr="009B4B87">
        <w:rPr>
          <w:rFonts w:ascii="Arial" w:eastAsia="Calibri" w:hAnsi="Arial" w:cs="Arial"/>
          <w:sz w:val="22"/>
          <w:szCs w:val="22"/>
          <w:lang w:val="es-CO" w:eastAsia="es-CO"/>
        </w:rPr>
        <w:t>en</w:t>
      </w:r>
      <w:r>
        <w:rPr>
          <w:rFonts w:ascii="Arial" w:eastAsia="Calibri" w:hAnsi="Arial" w:cs="Arial"/>
          <w:sz w:val="22"/>
          <w:szCs w:val="22"/>
          <w:lang w:val="es-CO" w:eastAsia="es-CO"/>
        </w:rPr>
        <w:t xml:space="preserve"> el pago de</w:t>
      </w:r>
      <w:r w:rsidRPr="009B4B87">
        <w:rPr>
          <w:rFonts w:ascii="Arial" w:eastAsia="Calibri" w:hAnsi="Arial" w:cs="Arial"/>
          <w:sz w:val="22"/>
          <w:szCs w:val="22"/>
          <w:lang w:val="es-CO" w:eastAsia="es-CO"/>
        </w:rPr>
        <w:t xml:space="preserve"> los servicios públicos del </w:t>
      </w:r>
      <w:r w:rsidR="00AF06A9">
        <w:rPr>
          <w:rFonts w:ascii="Arial" w:eastAsia="Calibri" w:hAnsi="Arial" w:cs="Arial"/>
          <w:sz w:val="22"/>
          <w:szCs w:val="22"/>
          <w:lang w:val="es-CO" w:eastAsia="es-CO"/>
        </w:rPr>
        <w:t>2</w:t>
      </w:r>
      <w:r w:rsidR="005A5EF1">
        <w:rPr>
          <w:rFonts w:ascii="Arial" w:eastAsia="Calibri" w:hAnsi="Arial" w:cs="Arial"/>
          <w:sz w:val="22"/>
          <w:szCs w:val="22"/>
          <w:lang w:val="es-CO" w:eastAsia="es-CO"/>
        </w:rPr>
        <w:t>1</w:t>
      </w:r>
      <w:r>
        <w:rPr>
          <w:rFonts w:ascii="Arial" w:eastAsia="Calibri" w:hAnsi="Arial" w:cs="Arial"/>
          <w:sz w:val="22"/>
          <w:szCs w:val="22"/>
          <w:lang w:val="es-CO" w:eastAsia="es-CO"/>
        </w:rPr>
        <w:t>.</w:t>
      </w:r>
      <w:r w:rsidR="005A5EF1">
        <w:rPr>
          <w:rFonts w:ascii="Arial" w:eastAsia="Calibri" w:hAnsi="Arial" w:cs="Arial"/>
          <w:sz w:val="22"/>
          <w:szCs w:val="22"/>
          <w:lang w:val="es-CO" w:eastAsia="es-CO"/>
        </w:rPr>
        <w:t>66</w:t>
      </w:r>
      <w:r>
        <w:rPr>
          <w:rFonts w:ascii="Arial" w:eastAsia="Calibri" w:hAnsi="Arial" w:cs="Arial"/>
          <w:sz w:val="22"/>
          <w:szCs w:val="22"/>
          <w:lang w:val="es-CO" w:eastAsia="es-CO"/>
        </w:rPr>
        <w:t>%</w:t>
      </w:r>
      <w:r w:rsidRPr="009B4B87">
        <w:rPr>
          <w:rFonts w:ascii="Arial" w:eastAsia="Calibri" w:hAnsi="Arial" w:cs="Arial"/>
          <w:sz w:val="22"/>
          <w:szCs w:val="22"/>
          <w:lang w:val="es-CO" w:eastAsia="es-CO"/>
        </w:rPr>
        <w:t>, comparado con el mismo periodo de la vigencia 201</w:t>
      </w:r>
      <w:r w:rsidR="00107BB8">
        <w:rPr>
          <w:rFonts w:ascii="Arial" w:eastAsia="Calibri" w:hAnsi="Arial" w:cs="Arial"/>
          <w:sz w:val="22"/>
          <w:szCs w:val="22"/>
          <w:lang w:val="es-CO" w:eastAsia="es-CO"/>
        </w:rPr>
        <w:t xml:space="preserve">8, con la salvedad </w:t>
      </w:r>
      <w:r w:rsidR="005A5EF1">
        <w:rPr>
          <w:rFonts w:ascii="Arial" w:eastAsia="Calibri" w:hAnsi="Arial" w:cs="Arial"/>
          <w:sz w:val="22"/>
          <w:szCs w:val="22"/>
          <w:lang w:val="es-CO" w:eastAsia="es-CO"/>
        </w:rPr>
        <w:t xml:space="preserve">de </w:t>
      </w:r>
      <w:r w:rsidR="00107BB8">
        <w:rPr>
          <w:rFonts w:ascii="Arial" w:eastAsia="Calibri" w:hAnsi="Arial" w:cs="Arial"/>
          <w:sz w:val="22"/>
          <w:szCs w:val="22"/>
          <w:lang w:val="es-CO" w:eastAsia="es-CO"/>
        </w:rPr>
        <w:t>que el gasto por concepto de acueducto del mes de junio</w:t>
      </w:r>
      <w:r w:rsidR="005A5EF1">
        <w:rPr>
          <w:rFonts w:ascii="Arial" w:eastAsia="Calibri" w:hAnsi="Arial" w:cs="Arial"/>
          <w:sz w:val="22"/>
          <w:szCs w:val="22"/>
          <w:lang w:val="es-CO" w:eastAsia="es-CO"/>
        </w:rPr>
        <w:t xml:space="preserve"> se tomó como el promedio de los meses anteriores</w:t>
      </w:r>
      <w:r w:rsidR="00107BB8">
        <w:rPr>
          <w:rFonts w:ascii="Arial" w:eastAsia="Calibri" w:hAnsi="Arial" w:cs="Arial"/>
          <w:sz w:val="22"/>
          <w:szCs w:val="22"/>
          <w:lang w:val="es-CO" w:eastAsia="es-CO"/>
        </w:rPr>
        <w:t xml:space="preserve"> </w:t>
      </w:r>
      <w:r w:rsidR="005A5EF1">
        <w:rPr>
          <w:rFonts w:ascii="Arial" w:eastAsia="Calibri" w:hAnsi="Arial" w:cs="Arial"/>
          <w:sz w:val="22"/>
          <w:szCs w:val="22"/>
          <w:lang w:val="es-CO" w:eastAsia="es-CO"/>
        </w:rPr>
        <w:t xml:space="preserve">ya que la subgerencia administrativa </w:t>
      </w:r>
      <w:r w:rsidR="00201BDB">
        <w:rPr>
          <w:rFonts w:ascii="Arial" w:eastAsia="Calibri" w:hAnsi="Arial" w:cs="Arial"/>
          <w:sz w:val="22"/>
          <w:szCs w:val="22"/>
          <w:lang w:val="es-CO" w:eastAsia="es-CO"/>
        </w:rPr>
        <w:t>no</w:t>
      </w:r>
      <w:r w:rsidR="00107BB8">
        <w:rPr>
          <w:rFonts w:ascii="Arial" w:eastAsia="Calibri" w:hAnsi="Arial" w:cs="Arial"/>
          <w:sz w:val="22"/>
          <w:szCs w:val="22"/>
          <w:lang w:val="es-CO" w:eastAsia="es-CO"/>
        </w:rPr>
        <w:t xml:space="preserve"> reportó esta información a la OCI, </w:t>
      </w:r>
      <w:r w:rsidR="005A5EF1">
        <w:rPr>
          <w:rFonts w:ascii="Arial" w:eastAsia="Calibri" w:hAnsi="Arial" w:cs="Arial"/>
          <w:sz w:val="22"/>
          <w:szCs w:val="22"/>
          <w:lang w:val="es-CO" w:eastAsia="es-CO"/>
        </w:rPr>
        <w:t xml:space="preserve">debido </w:t>
      </w:r>
      <w:r w:rsidR="00107BB8">
        <w:rPr>
          <w:rFonts w:ascii="Arial" w:eastAsia="Calibri" w:hAnsi="Arial" w:cs="Arial"/>
          <w:sz w:val="22"/>
          <w:szCs w:val="22"/>
          <w:lang w:val="es-CO" w:eastAsia="es-CO"/>
        </w:rPr>
        <w:t xml:space="preserve">a </w:t>
      </w:r>
      <w:r w:rsidR="005A5EF1">
        <w:rPr>
          <w:rFonts w:ascii="Arial" w:eastAsia="Calibri" w:hAnsi="Arial" w:cs="Arial"/>
          <w:sz w:val="22"/>
          <w:szCs w:val="22"/>
          <w:lang w:val="es-CO" w:eastAsia="es-CO"/>
        </w:rPr>
        <w:t xml:space="preserve">que a </w:t>
      </w:r>
      <w:r w:rsidR="00107BB8">
        <w:rPr>
          <w:rFonts w:ascii="Arial" w:eastAsia="Calibri" w:hAnsi="Arial" w:cs="Arial"/>
          <w:sz w:val="22"/>
          <w:szCs w:val="22"/>
          <w:lang w:val="es-CO" w:eastAsia="es-CO"/>
        </w:rPr>
        <w:t xml:space="preserve">la fecha </w:t>
      </w:r>
      <w:r w:rsidR="005A5EF1">
        <w:rPr>
          <w:rFonts w:ascii="Arial" w:eastAsia="Calibri" w:hAnsi="Arial" w:cs="Arial"/>
          <w:sz w:val="22"/>
          <w:szCs w:val="22"/>
          <w:lang w:val="es-CO" w:eastAsia="es-CO"/>
        </w:rPr>
        <w:t>no se ha recibido</w:t>
      </w:r>
      <w:r w:rsidR="00107BB8">
        <w:rPr>
          <w:rFonts w:ascii="Arial" w:eastAsia="Calibri" w:hAnsi="Arial" w:cs="Arial"/>
          <w:sz w:val="22"/>
          <w:szCs w:val="22"/>
          <w:lang w:val="es-CO" w:eastAsia="es-CO"/>
        </w:rPr>
        <w:t xml:space="preserve"> la </w:t>
      </w:r>
      <w:r w:rsidR="005A5EF1">
        <w:rPr>
          <w:rFonts w:ascii="Arial" w:eastAsia="Calibri" w:hAnsi="Arial" w:cs="Arial"/>
          <w:sz w:val="22"/>
          <w:szCs w:val="22"/>
          <w:lang w:val="es-CO" w:eastAsia="es-CO"/>
        </w:rPr>
        <w:t>factura</w:t>
      </w:r>
      <w:r w:rsidR="00201BDB">
        <w:rPr>
          <w:rFonts w:ascii="Arial" w:eastAsia="Calibri" w:hAnsi="Arial" w:cs="Arial"/>
          <w:sz w:val="22"/>
          <w:szCs w:val="22"/>
          <w:lang w:val="es-CO" w:eastAsia="es-CO"/>
        </w:rPr>
        <w:t xml:space="preserve"> correspondiente al mes de junio</w:t>
      </w:r>
      <w:r w:rsidR="005A5EF1">
        <w:rPr>
          <w:rFonts w:ascii="Arial" w:eastAsia="Calibri" w:hAnsi="Arial" w:cs="Arial"/>
          <w:sz w:val="22"/>
          <w:szCs w:val="22"/>
          <w:lang w:val="es-CO" w:eastAsia="es-CO"/>
        </w:rPr>
        <w:t xml:space="preserve">. </w:t>
      </w:r>
      <w:r w:rsidRPr="00B92FB3">
        <w:rPr>
          <w:rFonts w:ascii="Arial" w:eastAsia="Calibri" w:hAnsi="Arial" w:cs="Arial"/>
          <w:sz w:val="22"/>
          <w:szCs w:val="22"/>
          <w:lang w:val="es-CO" w:eastAsia="es-CO"/>
        </w:rPr>
        <w:t>A continuación se discriminan las variaciones de cada concepto:</w:t>
      </w:r>
    </w:p>
    <w:p w:rsidR="00261143" w:rsidRDefault="00261143" w:rsidP="00261143">
      <w:pPr>
        <w:pStyle w:val="Ttulo1"/>
        <w:tabs>
          <w:tab w:val="left" w:pos="1009"/>
          <w:tab w:val="left" w:pos="1010"/>
        </w:tabs>
        <w:ind w:left="0"/>
        <w:jc w:val="both"/>
      </w:pPr>
    </w:p>
    <w:p w:rsidR="00CA52F9" w:rsidRDefault="00CA52F9" w:rsidP="004C6E61">
      <w:pPr>
        <w:pStyle w:val="Prrafodelista"/>
        <w:numPr>
          <w:ilvl w:val="1"/>
          <w:numId w:val="1"/>
        </w:numPr>
        <w:jc w:val="both"/>
        <w:rPr>
          <w:rFonts w:eastAsia="Calibri"/>
        </w:rPr>
      </w:pPr>
      <w:r w:rsidRPr="00CA52F9">
        <w:rPr>
          <w:rFonts w:eastAsia="Calibri"/>
          <w:b/>
        </w:rPr>
        <w:t>Energía:</w:t>
      </w:r>
      <w:r w:rsidRPr="00CA52F9">
        <w:rPr>
          <w:rFonts w:eastAsia="Calibri"/>
        </w:rPr>
        <w:t xml:space="preserve"> </w:t>
      </w:r>
      <w:r w:rsidR="002C1D4F">
        <w:rPr>
          <w:rFonts w:eastAsia="Calibri"/>
        </w:rPr>
        <w:t>En este concepto se presentó un</w:t>
      </w:r>
      <w:r w:rsidR="00515376">
        <w:rPr>
          <w:rFonts w:eastAsia="Calibri"/>
        </w:rPr>
        <w:t>a</w:t>
      </w:r>
      <w:r w:rsidRPr="00CA52F9">
        <w:rPr>
          <w:rFonts w:eastAsia="Calibri"/>
        </w:rPr>
        <w:t xml:space="preserve"> </w:t>
      </w:r>
      <w:r w:rsidR="00515376">
        <w:rPr>
          <w:rFonts w:eastAsia="Calibri"/>
        </w:rPr>
        <w:t>disminución</w:t>
      </w:r>
      <w:r w:rsidRPr="00CA52F9">
        <w:rPr>
          <w:rFonts w:eastAsia="Calibri"/>
        </w:rPr>
        <w:t xml:space="preserve"> </w:t>
      </w:r>
      <w:r w:rsidR="002C1D4F">
        <w:rPr>
          <w:rFonts w:eastAsia="Calibri"/>
        </w:rPr>
        <w:t>de $3</w:t>
      </w:r>
      <w:r w:rsidR="00AF06A9">
        <w:rPr>
          <w:rFonts w:eastAsia="Calibri"/>
        </w:rPr>
        <w:t>.</w:t>
      </w:r>
      <w:r w:rsidR="00362277">
        <w:rPr>
          <w:rFonts w:eastAsia="Calibri"/>
        </w:rPr>
        <w:t>892</w:t>
      </w:r>
      <w:r w:rsidR="00EA5CEE">
        <w:rPr>
          <w:rFonts w:eastAsia="Calibri"/>
        </w:rPr>
        <w:t>.</w:t>
      </w:r>
      <w:r w:rsidR="00AF06A9">
        <w:rPr>
          <w:rFonts w:eastAsia="Calibri"/>
        </w:rPr>
        <w:t>94</w:t>
      </w:r>
      <w:r w:rsidR="00362277">
        <w:rPr>
          <w:rFonts w:eastAsia="Calibri"/>
        </w:rPr>
        <w:t>0</w:t>
      </w:r>
      <w:r w:rsidR="00EA5CEE">
        <w:rPr>
          <w:rFonts w:eastAsia="Calibri"/>
        </w:rPr>
        <w:t xml:space="preserve"> correspondiente al</w:t>
      </w:r>
      <w:r w:rsidRPr="00CA52F9">
        <w:rPr>
          <w:rFonts w:eastAsia="Calibri"/>
        </w:rPr>
        <w:t xml:space="preserve"> </w:t>
      </w:r>
      <w:r w:rsidR="00362277">
        <w:rPr>
          <w:rFonts w:eastAsia="Calibri"/>
        </w:rPr>
        <w:t>22</w:t>
      </w:r>
      <w:r w:rsidRPr="00CA52F9">
        <w:rPr>
          <w:rFonts w:eastAsia="Calibri"/>
        </w:rPr>
        <w:t>.</w:t>
      </w:r>
      <w:r w:rsidR="00362277">
        <w:rPr>
          <w:rFonts w:eastAsia="Calibri"/>
        </w:rPr>
        <w:t>16</w:t>
      </w:r>
      <w:r w:rsidRPr="00CA52F9">
        <w:rPr>
          <w:rFonts w:eastAsia="Calibri"/>
        </w:rPr>
        <w:t xml:space="preserve">% comparado con </w:t>
      </w:r>
      <w:r w:rsidR="000476FA">
        <w:rPr>
          <w:rFonts w:eastAsia="Calibri"/>
        </w:rPr>
        <w:t xml:space="preserve">el </w:t>
      </w:r>
      <w:r w:rsidR="00AF06A9">
        <w:rPr>
          <w:rFonts w:eastAsia="Calibri"/>
        </w:rPr>
        <w:t>mismo</w:t>
      </w:r>
      <w:r w:rsidRPr="00CA52F9">
        <w:rPr>
          <w:rFonts w:eastAsia="Calibri"/>
        </w:rPr>
        <w:t xml:space="preserve"> trimestre de la anterior vigencia</w:t>
      </w:r>
      <w:r w:rsidR="000476FA">
        <w:rPr>
          <w:rFonts w:eastAsia="Calibri"/>
        </w:rPr>
        <w:t>.</w:t>
      </w:r>
    </w:p>
    <w:p w:rsidR="00CA52F9" w:rsidRDefault="00CA52F9" w:rsidP="004C6E61">
      <w:pPr>
        <w:pStyle w:val="Prrafodelista"/>
        <w:ind w:left="1038" w:firstLine="0"/>
        <w:jc w:val="both"/>
        <w:rPr>
          <w:rFonts w:eastAsia="Calibri"/>
        </w:rPr>
      </w:pPr>
    </w:p>
    <w:p w:rsidR="00CA52F9" w:rsidRPr="005F38EC" w:rsidRDefault="00CA52F9" w:rsidP="004C6E61">
      <w:pPr>
        <w:pStyle w:val="Prrafodelista"/>
        <w:numPr>
          <w:ilvl w:val="1"/>
          <w:numId w:val="1"/>
        </w:numPr>
        <w:tabs>
          <w:tab w:val="left" w:pos="1009"/>
          <w:tab w:val="left" w:pos="1010"/>
        </w:tabs>
        <w:spacing w:after="200"/>
        <w:ind w:left="993" w:hanging="709"/>
        <w:contextualSpacing/>
        <w:jc w:val="both"/>
      </w:pPr>
      <w:r w:rsidRPr="00D35053">
        <w:rPr>
          <w:rFonts w:eastAsia="Calibri"/>
          <w:b/>
        </w:rPr>
        <w:t xml:space="preserve">Telefonía Fija: </w:t>
      </w:r>
      <w:r w:rsidRPr="00D35053">
        <w:rPr>
          <w:rFonts w:eastAsia="Calibri"/>
        </w:rPr>
        <w:t xml:space="preserve">En este concepto se reporta </w:t>
      </w:r>
      <w:r w:rsidR="007A3DB2">
        <w:rPr>
          <w:rFonts w:eastAsia="Calibri"/>
        </w:rPr>
        <w:t>una disminución</w:t>
      </w:r>
      <w:r w:rsidRPr="00D35053">
        <w:rPr>
          <w:rFonts w:eastAsia="Calibri"/>
        </w:rPr>
        <w:t xml:space="preserve"> del </w:t>
      </w:r>
      <w:r w:rsidR="00AF06A9">
        <w:rPr>
          <w:rFonts w:eastAsia="Calibri"/>
        </w:rPr>
        <w:t>1</w:t>
      </w:r>
      <w:r w:rsidR="007A3DB2">
        <w:rPr>
          <w:rFonts w:eastAsia="Calibri"/>
        </w:rPr>
        <w:t>9</w:t>
      </w:r>
      <w:r w:rsidR="00AF06A9">
        <w:rPr>
          <w:rFonts w:eastAsia="Calibri"/>
        </w:rPr>
        <w:t>,</w:t>
      </w:r>
      <w:r w:rsidR="007A3DB2">
        <w:rPr>
          <w:rFonts w:eastAsia="Calibri"/>
        </w:rPr>
        <w:t>66</w:t>
      </w:r>
      <w:r w:rsidRPr="00D35053">
        <w:rPr>
          <w:rFonts w:eastAsia="Calibri"/>
        </w:rPr>
        <w:t xml:space="preserve">% respecto al </w:t>
      </w:r>
      <w:r w:rsidR="005F38EC" w:rsidRPr="00D35053">
        <w:rPr>
          <w:rFonts w:eastAsia="Calibri"/>
        </w:rPr>
        <w:t xml:space="preserve">  </w:t>
      </w:r>
      <w:r w:rsidR="00D35053">
        <w:rPr>
          <w:rFonts w:eastAsia="Calibri"/>
        </w:rPr>
        <w:t>m</w:t>
      </w:r>
      <w:r w:rsidR="00D35053" w:rsidRPr="00D35053">
        <w:rPr>
          <w:rFonts w:eastAsia="Calibri"/>
        </w:rPr>
        <w:t>ismo</w:t>
      </w:r>
      <w:r w:rsidRPr="00D35053">
        <w:rPr>
          <w:rFonts w:eastAsia="Calibri"/>
        </w:rPr>
        <w:t xml:space="preserve"> periodo de la vigencia anterior</w:t>
      </w:r>
      <w:r w:rsidR="00F07C0A" w:rsidRPr="00D35053">
        <w:rPr>
          <w:rFonts w:eastAsia="Calibri"/>
        </w:rPr>
        <w:t>.</w:t>
      </w:r>
    </w:p>
    <w:p w:rsidR="005F38EC" w:rsidRDefault="005F38EC" w:rsidP="004C6E61">
      <w:pPr>
        <w:pStyle w:val="Prrafodelista"/>
      </w:pPr>
    </w:p>
    <w:p w:rsidR="004B75D1" w:rsidRPr="002C1D4F" w:rsidRDefault="00CA52F9" w:rsidP="004C6E61">
      <w:pPr>
        <w:pStyle w:val="Prrafodelista"/>
        <w:numPr>
          <w:ilvl w:val="1"/>
          <w:numId w:val="1"/>
        </w:numPr>
        <w:jc w:val="both"/>
        <w:rPr>
          <w:rFonts w:eastAsia="Calibri"/>
        </w:rPr>
      </w:pPr>
      <w:r w:rsidRPr="002C1D4F">
        <w:rPr>
          <w:rFonts w:eastAsia="Calibri"/>
          <w:b/>
        </w:rPr>
        <w:t xml:space="preserve">Telefonía Móvil: </w:t>
      </w:r>
      <w:r w:rsidRPr="002C1D4F">
        <w:rPr>
          <w:rFonts w:eastAsia="Calibri"/>
        </w:rPr>
        <w:t xml:space="preserve">En el </w:t>
      </w:r>
      <w:r w:rsidR="00AF06A9">
        <w:rPr>
          <w:rFonts w:eastAsia="Calibri"/>
        </w:rPr>
        <w:t>periodo evaluado se presentó una disminución</w:t>
      </w:r>
      <w:r w:rsidRPr="002C1D4F">
        <w:rPr>
          <w:rFonts w:eastAsia="Calibri"/>
        </w:rPr>
        <w:t xml:space="preserve"> del </w:t>
      </w:r>
      <w:r w:rsidR="00AF19B4">
        <w:rPr>
          <w:rFonts w:eastAsia="Calibri"/>
        </w:rPr>
        <w:t>24</w:t>
      </w:r>
      <w:r w:rsidRPr="002C1D4F">
        <w:rPr>
          <w:rFonts w:eastAsia="Calibri"/>
        </w:rPr>
        <w:t>.</w:t>
      </w:r>
      <w:r w:rsidR="00AF06A9">
        <w:rPr>
          <w:rFonts w:eastAsia="Calibri"/>
        </w:rPr>
        <w:t>8</w:t>
      </w:r>
      <w:r w:rsidR="00AF19B4">
        <w:rPr>
          <w:rFonts w:eastAsia="Calibri"/>
        </w:rPr>
        <w:t>1</w:t>
      </w:r>
      <w:r w:rsidRPr="002C1D4F">
        <w:rPr>
          <w:rFonts w:eastAsia="Calibri"/>
        </w:rPr>
        <w:t>% frente a la vigencia 201</w:t>
      </w:r>
      <w:r w:rsidR="00AF19B4">
        <w:rPr>
          <w:rFonts w:eastAsia="Calibri"/>
        </w:rPr>
        <w:t>8</w:t>
      </w:r>
      <w:r w:rsidR="00F01512">
        <w:rPr>
          <w:rFonts w:eastAsia="Calibri"/>
        </w:rPr>
        <w:t xml:space="preserve">, que puede </w:t>
      </w:r>
      <w:r w:rsidR="00651602">
        <w:rPr>
          <w:rFonts w:eastAsia="Calibri"/>
        </w:rPr>
        <w:t>obedecer</w:t>
      </w:r>
      <w:r w:rsidR="00F01512">
        <w:rPr>
          <w:rFonts w:eastAsia="Calibri"/>
        </w:rPr>
        <w:t xml:space="preserve"> a cambio </w:t>
      </w:r>
      <w:r w:rsidR="00651602">
        <w:rPr>
          <w:rFonts w:eastAsia="Calibri"/>
        </w:rPr>
        <w:t>de</w:t>
      </w:r>
      <w:r w:rsidR="00F01512">
        <w:rPr>
          <w:rFonts w:eastAsia="Calibri"/>
        </w:rPr>
        <w:t xml:space="preserve"> los planes</w:t>
      </w:r>
      <w:r w:rsidR="00651602">
        <w:rPr>
          <w:rFonts w:eastAsia="Calibri"/>
        </w:rPr>
        <w:t xml:space="preserve"> contratados o</w:t>
      </w:r>
      <w:r w:rsidR="00F01512">
        <w:rPr>
          <w:rFonts w:eastAsia="Calibri"/>
        </w:rPr>
        <w:t xml:space="preserve"> </w:t>
      </w:r>
      <w:r w:rsidR="00651602">
        <w:rPr>
          <w:rFonts w:eastAsia="Calibri"/>
        </w:rPr>
        <w:t>de</w:t>
      </w:r>
      <w:r w:rsidR="00F01512">
        <w:rPr>
          <w:rFonts w:eastAsia="Calibri"/>
        </w:rPr>
        <w:t xml:space="preserve"> operador</w:t>
      </w:r>
      <w:r w:rsidR="002C1D4F">
        <w:rPr>
          <w:rFonts w:eastAsia="Calibri"/>
        </w:rPr>
        <w:t>.</w:t>
      </w:r>
    </w:p>
    <w:p w:rsidR="005F38EC" w:rsidRPr="005F38EC" w:rsidRDefault="005F38EC" w:rsidP="005F38EC">
      <w:pPr>
        <w:pStyle w:val="Prrafodelista"/>
        <w:ind w:left="1038" w:firstLine="0"/>
        <w:jc w:val="both"/>
        <w:rPr>
          <w:rFonts w:eastAsia="Calibri"/>
        </w:rPr>
      </w:pPr>
    </w:p>
    <w:p w:rsidR="005F38EC" w:rsidRDefault="005F38EC" w:rsidP="00D35053">
      <w:pPr>
        <w:pStyle w:val="Textoindependiente"/>
        <w:numPr>
          <w:ilvl w:val="1"/>
          <w:numId w:val="1"/>
        </w:numPr>
        <w:ind w:left="993" w:hanging="709"/>
        <w:jc w:val="both"/>
        <w:rPr>
          <w:rFonts w:eastAsia="Calibri"/>
        </w:rPr>
      </w:pPr>
      <w:r w:rsidRPr="007B532D">
        <w:rPr>
          <w:rFonts w:eastAsia="Calibri"/>
          <w:b/>
        </w:rPr>
        <w:t>Acueducto y Alcantarillado:</w:t>
      </w:r>
      <w:r w:rsidR="009E2AD1" w:rsidRPr="007B532D">
        <w:rPr>
          <w:rFonts w:eastAsia="Calibri"/>
          <w:b/>
        </w:rPr>
        <w:t xml:space="preserve"> </w:t>
      </w:r>
      <w:r w:rsidR="00394142" w:rsidRPr="007B532D">
        <w:rPr>
          <w:rFonts w:eastAsia="Calibri"/>
        </w:rPr>
        <w:t>En el periodo evaluado se presentó</w:t>
      </w:r>
      <w:r w:rsidR="00A2448B" w:rsidRPr="007B532D">
        <w:rPr>
          <w:rFonts w:eastAsia="Calibri"/>
        </w:rPr>
        <w:t xml:space="preserve"> un</w:t>
      </w:r>
      <w:r w:rsidR="00651602">
        <w:rPr>
          <w:rFonts w:eastAsia="Calibri"/>
        </w:rPr>
        <w:t>a</w:t>
      </w:r>
      <w:r w:rsidR="00A2448B" w:rsidRPr="007B532D">
        <w:rPr>
          <w:rFonts w:eastAsia="Calibri"/>
        </w:rPr>
        <w:t xml:space="preserve"> </w:t>
      </w:r>
      <w:r w:rsidR="00651602">
        <w:rPr>
          <w:rFonts w:eastAsia="Calibri"/>
        </w:rPr>
        <w:t xml:space="preserve">disminución </w:t>
      </w:r>
      <w:r w:rsidR="00A2448B" w:rsidRPr="007B532D">
        <w:rPr>
          <w:rFonts w:eastAsia="Calibri"/>
        </w:rPr>
        <w:t xml:space="preserve">del </w:t>
      </w:r>
      <w:r w:rsidR="00651602">
        <w:rPr>
          <w:rFonts w:eastAsia="Calibri"/>
        </w:rPr>
        <w:t>19</w:t>
      </w:r>
      <w:r w:rsidR="00A2448B" w:rsidRPr="007B532D">
        <w:rPr>
          <w:rFonts w:eastAsia="Calibri"/>
        </w:rPr>
        <w:t>,</w:t>
      </w:r>
      <w:r w:rsidR="00651602">
        <w:rPr>
          <w:rFonts w:eastAsia="Calibri"/>
        </w:rPr>
        <w:t>00</w:t>
      </w:r>
      <w:r w:rsidR="00A2448B" w:rsidRPr="007B532D">
        <w:rPr>
          <w:rFonts w:eastAsia="Calibri"/>
        </w:rPr>
        <w:t>%</w:t>
      </w:r>
      <w:r w:rsidR="004A50B0">
        <w:rPr>
          <w:rFonts w:eastAsia="Calibri"/>
        </w:rPr>
        <w:t xml:space="preserve"> </w:t>
      </w:r>
      <w:r w:rsidR="00A2448B" w:rsidRPr="007B532D">
        <w:rPr>
          <w:rFonts w:eastAsia="Calibri"/>
        </w:rPr>
        <w:t xml:space="preserve">comparado con </w:t>
      </w:r>
      <w:r w:rsidR="006A44E2">
        <w:rPr>
          <w:rFonts w:eastAsia="Calibri"/>
        </w:rPr>
        <w:t xml:space="preserve">el </w:t>
      </w:r>
      <w:r w:rsidR="00C758D8">
        <w:rPr>
          <w:rFonts w:eastAsia="Calibri"/>
        </w:rPr>
        <w:t>mismo</w:t>
      </w:r>
      <w:r w:rsidR="00A2448B" w:rsidRPr="007B532D">
        <w:rPr>
          <w:rFonts w:eastAsia="Calibri"/>
        </w:rPr>
        <w:t xml:space="preserve"> trimestre</w:t>
      </w:r>
      <w:r w:rsidR="00C758D8">
        <w:rPr>
          <w:rFonts w:eastAsia="Calibri"/>
        </w:rPr>
        <w:t xml:space="preserve"> de la vigencia</w:t>
      </w:r>
      <w:r w:rsidR="00A2448B" w:rsidRPr="007B532D">
        <w:rPr>
          <w:rFonts w:eastAsia="Calibri"/>
        </w:rPr>
        <w:t xml:space="preserve"> </w:t>
      </w:r>
      <w:r w:rsidR="00651602">
        <w:rPr>
          <w:rFonts w:eastAsia="Calibri"/>
        </w:rPr>
        <w:t>2018</w:t>
      </w:r>
      <w:r w:rsidR="00A2448B" w:rsidRPr="007B532D">
        <w:rPr>
          <w:rFonts w:eastAsia="Calibri"/>
        </w:rPr>
        <w:t>,</w:t>
      </w:r>
      <w:r w:rsidR="00C758D8">
        <w:rPr>
          <w:rFonts w:eastAsia="Calibri"/>
        </w:rPr>
        <w:t xml:space="preserve"> </w:t>
      </w:r>
      <w:r w:rsidR="00D342BF">
        <w:rPr>
          <w:rFonts w:eastAsia="Calibri"/>
        </w:rPr>
        <w:t>con el fin d</w:t>
      </w:r>
      <w:r w:rsidR="00C758D8">
        <w:rPr>
          <w:rFonts w:eastAsia="Calibri"/>
        </w:rPr>
        <w:t xml:space="preserve">e darle continuidad al </w:t>
      </w:r>
      <w:r w:rsidR="006A44E2">
        <w:rPr>
          <w:rFonts w:eastAsia="Calibri"/>
        </w:rPr>
        <w:t>análisis</w:t>
      </w:r>
      <w:r w:rsidR="00C758D8">
        <w:rPr>
          <w:rFonts w:eastAsia="Calibri"/>
        </w:rPr>
        <w:t xml:space="preserve"> realizado en </w:t>
      </w:r>
      <w:r w:rsidR="00900DDD">
        <w:rPr>
          <w:rFonts w:eastAsia="Calibri"/>
        </w:rPr>
        <w:t>los últimos</w:t>
      </w:r>
      <w:r w:rsidR="00C758D8">
        <w:rPr>
          <w:rFonts w:eastAsia="Calibri"/>
        </w:rPr>
        <w:t xml:space="preserve"> informe</w:t>
      </w:r>
      <w:r w:rsidR="000476FA">
        <w:rPr>
          <w:rFonts w:eastAsia="Calibri"/>
        </w:rPr>
        <w:t>s</w:t>
      </w:r>
      <w:r w:rsidR="00C758D8">
        <w:rPr>
          <w:rFonts w:eastAsia="Calibri"/>
        </w:rPr>
        <w:t xml:space="preserve"> </w:t>
      </w:r>
      <w:r w:rsidR="00B32866">
        <w:rPr>
          <w:rFonts w:eastAsia="Calibri"/>
        </w:rPr>
        <w:t xml:space="preserve">en los cuales se </w:t>
      </w:r>
      <w:r w:rsidR="00C758D8">
        <w:rPr>
          <w:rFonts w:eastAsia="Calibri"/>
        </w:rPr>
        <w:t>evidenci</w:t>
      </w:r>
      <w:r w:rsidR="00D342BF">
        <w:rPr>
          <w:rFonts w:eastAsia="Calibri"/>
        </w:rPr>
        <w:t>ó</w:t>
      </w:r>
      <w:r w:rsidR="00C758D8">
        <w:rPr>
          <w:rFonts w:eastAsia="Calibri"/>
        </w:rPr>
        <w:t xml:space="preserve"> una tendencia</w:t>
      </w:r>
      <w:r w:rsidR="00D342BF">
        <w:rPr>
          <w:rFonts w:eastAsia="Calibri"/>
        </w:rPr>
        <w:t xml:space="preserve"> al incremento durante toda la vigencia 201</w:t>
      </w:r>
      <w:r w:rsidR="00651602">
        <w:rPr>
          <w:rFonts w:eastAsia="Calibri"/>
        </w:rPr>
        <w:t>8</w:t>
      </w:r>
      <w:r w:rsidR="00B32866">
        <w:rPr>
          <w:rFonts w:eastAsia="Calibri"/>
        </w:rPr>
        <w:t>,</w:t>
      </w:r>
      <w:r w:rsidR="00317CC3">
        <w:t xml:space="preserve"> </w:t>
      </w:r>
      <w:r w:rsidR="007A67DF" w:rsidRPr="007B532D">
        <w:rPr>
          <w:rFonts w:eastAsia="Calibri"/>
        </w:rPr>
        <w:t>se presenta un</w:t>
      </w:r>
      <w:r w:rsidR="007B532D">
        <w:rPr>
          <w:rFonts w:eastAsia="Calibri"/>
        </w:rPr>
        <w:t>a</w:t>
      </w:r>
      <w:r w:rsidR="007A67DF" w:rsidRPr="007B532D">
        <w:rPr>
          <w:rFonts w:eastAsia="Calibri"/>
        </w:rPr>
        <w:t xml:space="preserve"> </w:t>
      </w:r>
      <w:r w:rsidR="007B532D">
        <w:rPr>
          <w:rFonts w:eastAsia="Calibri"/>
        </w:rPr>
        <w:t>gráfica comparativa</w:t>
      </w:r>
      <w:r w:rsidR="007A67DF" w:rsidRPr="007B532D">
        <w:rPr>
          <w:rFonts w:eastAsia="Calibri"/>
        </w:rPr>
        <w:t xml:space="preserve"> de los </w:t>
      </w:r>
      <w:r w:rsidR="002C1D4F">
        <w:rPr>
          <w:rFonts w:eastAsia="Calibri"/>
        </w:rPr>
        <w:t>seis</w:t>
      </w:r>
      <w:r w:rsidR="007B532D">
        <w:rPr>
          <w:rFonts w:eastAsia="Calibri"/>
        </w:rPr>
        <w:t xml:space="preserve"> últimos</w:t>
      </w:r>
      <w:r w:rsidR="007A67DF" w:rsidRPr="007B532D">
        <w:rPr>
          <w:rFonts w:eastAsia="Calibri"/>
        </w:rPr>
        <w:t xml:space="preserve"> trimestres</w:t>
      </w:r>
      <w:r w:rsidR="00D86926" w:rsidRPr="007B532D">
        <w:rPr>
          <w:rFonts w:eastAsia="Calibri"/>
        </w:rPr>
        <w:t>:</w:t>
      </w:r>
    </w:p>
    <w:p w:rsidR="00900DDD" w:rsidRDefault="00900DDD" w:rsidP="00900DDD">
      <w:pPr>
        <w:pStyle w:val="Prrafodelista"/>
        <w:rPr>
          <w:rFonts w:eastAsia="Calibri"/>
        </w:rPr>
      </w:pPr>
    </w:p>
    <w:p w:rsidR="00900DDD" w:rsidRDefault="00900DDD" w:rsidP="00916575">
      <w:pPr>
        <w:pStyle w:val="Textoindependiente"/>
        <w:jc w:val="right"/>
        <w:rPr>
          <w:rFonts w:eastAsia="Calibri"/>
        </w:rPr>
      </w:pPr>
    </w:p>
    <w:p w:rsidR="00F40429" w:rsidRDefault="00F40429" w:rsidP="00F40429">
      <w:pPr>
        <w:pStyle w:val="Prrafodelista"/>
        <w:rPr>
          <w:rFonts w:eastAsia="Calibri"/>
        </w:rPr>
      </w:pPr>
    </w:p>
    <w:p w:rsidR="00BA314F" w:rsidRDefault="00BA314F" w:rsidP="00BA314F">
      <w:pPr>
        <w:pStyle w:val="Prrafodelista"/>
        <w:jc w:val="center"/>
        <w:rPr>
          <w:rFonts w:eastAsia="Calibri"/>
        </w:rPr>
      </w:pPr>
      <w:r>
        <w:rPr>
          <w:noProof/>
          <w:lang w:bidi="ar-SA"/>
        </w:rPr>
        <w:lastRenderedPageBreak/>
        <w:drawing>
          <wp:inline distT="0" distB="0" distL="0" distR="0" wp14:anchorId="1114A423" wp14:editId="201DD153">
            <wp:extent cx="5175251" cy="3513666"/>
            <wp:effectExtent l="0" t="0" r="25400" b="1079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314F" w:rsidRDefault="00BA314F" w:rsidP="00F40429">
      <w:pPr>
        <w:pStyle w:val="Prrafodelista"/>
        <w:rPr>
          <w:rFonts w:eastAsia="Calibri"/>
        </w:rPr>
      </w:pPr>
    </w:p>
    <w:p w:rsidR="00D3757C" w:rsidRDefault="00097AB9" w:rsidP="00AC2A39">
      <w:pPr>
        <w:pStyle w:val="Prrafodelista"/>
        <w:tabs>
          <w:tab w:val="left" w:pos="1009"/>
          <w:tab w:val="left" w:pos="1010"/>
        </w:tabs>
        <w:spacing w:before="5"/>
        <w:ind w:left="302" w:right="113" w:firstLine="0"/>
        <w:jc w:val="both"/>
      </w:pPr>
      <w:r>
        <w:t>L</w:t>
      </w:r>
      <w:r w:rsidR="00AC2A39">
        <w:t xml:space="preserve">a </w:t>
      </w:r>
      <w:r w:rsidR="00D342BF">
        <w:t>g</w:t>
      </w:r>
      <w:r w:rsidR="00AC2A39">
        <w:t>r</w:t>
      </w:r>
      <w:r w:rsidR="00D35CFD">
        <w:t>á</w:t>
      </w:r>
      <w:r w:rsidR="00AC2A39">
        <w:t>fica anterior</w:t>
      </w:r>
      <w:r w:rsidR="00D35CFD">
        <w:t xml:space="preserve"> </w:t>
      </w:r>
      <w:r>
        <w:t xml:space="preserve">muestra que </w:t>
      </w:r>
      <w:r w:rsidR="00B829A1">
        <w:t>hubo</w:t>
      </w:r>
      <w:r w:rsidR="00C80085">
        <w:t xml:space="preserve"> un</w:t>
      </w:r>
      <w:r>
        <w:t>a</w:t>
      </w:r>
      <w:r w:rsidR="00C80085">
        <w:t xml:space="preserve"> </w:t>
      </w:r>
      <w:r>
        <w:t>disminución</w:t>
      </w:r>
      <w:r w:rsidR="00B829A1">
        <w:t xml:space="preserve"> </w:t>
      </w:r>
      <w:r w:rsidR="00BA314F">
        <w:t>en el segundo trimestre de la vigencia 2019</w:t>
      </w:r>
      <w:r w:rsidR="00916575">
        <w:t xml:space="preserve"> </w:t>
      </w:r>
      <w:r w:rsidR="00B829A1">
        <w:t xml:space="preserve">con respecto </w:t>
      </w:r>
      <w:r>
        <w:t xml:space="preserve">al trimestre inmediatamente anterior, sin embargo </w:t>
      </w:r>
      <w:r w:rsidR="00BA314F">
        <w:t>esta disminución no es concluyente debido a que para calcular el gasto por este concepto para el mes de junio se tomó el promedio de los meses anteriores</w:t>
      </w:r>
      <w:r>
        <w:t>.</w:t>
      </w:r>
    </w:p>
    <w:p w:rsidR="00D3757C" w:rsidRDefault="00D3757C">
      <w:pPr>
        <w:pStyle w:val="Textoindependiente"/>
        <w:rPr>
          <w:sz w:val="24"/>
        </w:rPr>
      </w:pPr>
    </w:p>
    <w:p w:rsidR="007305E2" w:rsidRDefault="007305E2">
      <w:pPr>
        <w:pStyle w:val="Textoindependiente"/>
        <w:spacing w:before="4"/>
        <w:rPr>
          <w:sz w:val="21"/>
        </w:rPr>
      </w:pPr>
    </w:p>
    <w:p w:rsidR="00D3757C" w:rsidRDefault="00CB4616">
      <w:pPr>
        <w:pStyle w:val="Ttulo1"/>
        <w:tabs>
          <w:tab w:val="left" w:pos="1009"/>
        </w:tabs>
        <w:spacing w:before="1"/>
        <w:ind w:left="302"/>
      </w:pPr>
      <w:r>
        <w:t>9</w:t>
      </w:r>
      <w:r w:rsidR="001C6360">
        <w:t>.</w:t>
      </w:r>
      <w:r>
        <w:tab/>
        <w:t>CONCLUSIONES Y RECOMENDACIONES</w:t>
      </w:r>
    </w:p>
    <w:p w:rsidR="009A2C3E" w:rsidRDefault="009A2C3E">
      <w:pPr>
        <w:pStyle w:val="Ttulo1"/>
        <w:tabs>
          <w:tab w:val="left" w:pos="1009"/>
        </w:tabs>
        <w:spacing w:before="1"/>
        <w:ind w:left="302"/>
      </w:pPr>
    </w:p>
    <w:p w:rsidR="00487A27" w:rsidRPr="00487A27" w:rsidRDefault="00487A27" w:rsidP="00487A27">
      <w:pPr>
        <w:pStyle w:val="Textoindependiente"/>
        <w:spacing w:before="7"/>
        <w:ind w:left="284"/>
        <w:jc w:val="both"/>
      </w:pPr>
      <w:r>
        <w:t>Con base en la información que se ha presentado, la oficina de Control Interno sugiere atender las siguientes recomendaciones para continuar fortaleciendo el proceso de mejora continua que le permita a la entidad obtener más y mejores resultados en materia de austeridad del gasto:</w:t>
      </w:r>
    </w:p>
    <w:p w:rsidR="00D3757C" w:rsidRDefault="00D3757C">
      <w:pPr>
        <w:pStyle w:val="Textoindependiente"/>
        <w:spacing w:before="6"/>
        <w:rPr>
          <w:sz w:val="19"/>
        </w:rPr>
      </w:pPr>
    </w:p>
    <w:p w:rsidR="009D232A" w:rsidRDefault="009D232A" w:rsidP="00A700F3">
      <w:pPr>
        <w:pStyle w:val="Textoindependiente"/>
        <w:numPr>
          <w:ilvl w:val="0"/>
          <w:numId w:val="7"/>
        </w:numPr>
        <w:spacing w:before="7"/>
        <w:jc w:val="both"/>
      </w:pPr>
      <w:r>
        <w:t>La Oficina de Control Interno durante la elaboración del presente informe logró evidenciar, en general, una disminución en los diferentes gastos comparados con el mismo periodo de la vigencia 2018.</w:t>
      </w:r>
    </w:p>
    <w:p w:rsidR="009D232A" w:rsidRDefault="009D232A" w:rsidP="009D232A">
      <w:pPr>
        <w:pStyle w:val="Textoindependiente"/>
        <w:spacing w:before="7"/>
        <w:ind w:left="720"/>
        <w:jc w:val="both"/>
      </w:pPr>
    </w:p>
    <w:p w:rsidR="00320E0B" w:rsidRDefault="00A224A1" w:rsidP="00A700F3">
      <w:pPr>
        <w:pStyle w:val="Textoindependiente"/>
        <w:numPr>
          <w:ilvl w:val="0"/>
          <w:numId w:val="7"/>
        </w:numPr>
        <w:spacing w:before="7"/>
        <w:jc w:val="both"/>
      </w:pPr>
      <w:r>
        <w:t>La OCI recomienda la implementación, seguimiento y evaluación del un</w:t>
      </w:r>
      <w:r w:rsidR="00320E0B">
        <w:t xml:space="preserve"> </w:t>
      </w:r>
      <w:r w:rsidR="009F20D2">
        <w:t>Plan de Austeridad y Gestión Ambiental</w:t>
      </w:r>
      <w:r>
        <w:t xml:space="preserve"> para la Lotería Santander</w:t>
      </w:r>
      <w:r w:rsidR="009F20D2">
        <w:t>,</w:t>
      </w:r>
      <w:r>
        <w:t xml:space="preserve"> con el  fin de</w:t>
      </w:r>
      <w:r w:rsidR="00BD1D7A">
        <w:t xml:space="preserve"> </w:t>
      </w:r>
      <w:r>
        <w:t>p</w:t>
      </w:r>
      <w:r w:rsidR="00BD1D7A">
        <w:t>ropender por el desarrollo de estrategias que permitan un uso racional, eficiente y adecuado de los recursos en la entidad</w:t>
      </w:r>
      <w:r>
        <w:t>,</w:t>
      </w:r>
      <w:r w:rsidR="00BD1D7A">
        <w:t xml:space="preserve"> enfocado hacia la prevención y mitigación de los impactos ambientales que se generan por medio de las actividades realizadas en la entidad, para dar cumplimiento a la normativa vigente aplicable y que regula el actuar de las entidades del Estado Colombiano.</w:t>
      </w:r>
    </w:p>
    <w:p w:rsidR="0018591E" w:rsidRDefault="0018591E" w:rsidP="0018591E">
      <w:pPr>
        <w:pStyle w:val="Textoindependiente"/>
        <w:spacing w:before="7"/>
        <w:ind w:left="720"/>
        <w:jc w:val="both"/>
      </w:pPr>
    </w:p>
    <w:p w:rsidR="00C275FF" w:rsidRDefault="009D232A" w:rsidP="00C275FF">
      <w:pPr>
        <w:pStyle w:val="Textoindependiente"/>
        <w:numPr>
          <w:ilvl w:val="0"/>
          <w:numId w:val="7"/>
        </w:numPr>
        <w:spacing w:before="7"/>
        <w:jc w:val="both"/>
      </w:pPr>
      <w:r>
        <w:t>Con la elaboración del Plan de Austeridad y Gestión Ambiental antes mencionado se podrán establecer indicadores que permitan que la entidad se proponga metas en cuanto a reducciones</w:t>
      </w:r>
      <w:r w:rsidR="00751EBF">
        <w:t xml:space="preserve"> en los diferentes conceptos de gastos.</w:t>
      </w:r>
    </w:p>
    <w:p w:rsidR="00751EBF" w:rsidRDefault="00751EBF" w:rsidP="00751EBF">
      <w:pPr>
        <w:pStyle w:val="Prrafodelista"/>
      </w:pPr>
    </w:p>
    <w:p w:rsidR="00751EBF" w:rsidRDefault="00751EBF" w:rsidP="00751EBF">
      <w:pPr>
        <w:pStyle w:val="Textoindependiente"/>
        <w:numPr>
          <w:ilvl w:val="0"/>
          <w:numId w:val="7"/>
        </w:numPr>
        <w:spacing w:before="7"/>
        <w:jc w:val="both"/>
      </w:pPr>
      <w:r>
        <w:t>La OCI reitera las recomendaciones realizadas en los informes anteriores, en cuanto a la necesidad del fortalecimiento en los controles empleados a la fecha y recomienda</w:t>
      </w:r>
      <w:r w:rsidRPr="00A333AC">
        <w:t xml:space="preserve"> </w:t>
      </w:r>
      <w:r>
        <w:t>implementar medidas de control como por ejemplo: el uso de papel reciclable, el uso de internet o intranet, racionalización de servicios públicos mediante instalaciones de ahorradores, temporizadores de agua, luz, teléfonos, luces halógenas por LED,  sanitarios de bajo consumo etc.</w:t>
      </w:r>
    </w:p>
    <w:p w:rsidR="00751EBF" w:rsidRDefault="00751EBF" w:rsidP="00751EBF">
      <w:pPr>
        <w:pStyle w:val="Textoindependiente"/>
        <w:spacing w:before="7"/>
        <w:ind w:left="720"/>
        <w:jc w:val="both"/>
      </w:pPr>
    </w:p>
    <w:p w:rsidR="00097AB9" w:rsidRDefault="00097AB9" w:rsidP="00097AB9">
      <w:pPr>
        <w:pStyle w:val="Textoindependiente"/>
        <w:numPr>
          <w:ilvl w:val="0"/>
          <w:numId w:val="7"/>
        </w:numPr>
        <w:spacing w:before="7"/>
        <w:jc w:val="both"/>
      </w:pPr>
      <w:r>
        <w:t xml:space="preserve">Continuar fomentando una cultura que cumpla con las políticas de Eficiencia y Austeridad en el Gasto al interior de las dependencias de la LOTERIA SANTANDER que permita evidenciar los resultados satisfactorios obtenidos por la entidad en la materia. </w:t>
      </w:r>
    </w:p>
    <w:p w:rsidR="00097AB9" w:rsidRDefault="00097AB9" w:rsidP="00097AB9">
      <w:pPr>
        <w:pStyle w:val="Textoindependiente"/>
        <w:spacing w:before="7"/>
        <w:ind w:left="720"/>
        <w:jc w:val="both"/>
      </w:pPr>
    </w:p>
    <w:p w:rsidR="003B73FB" w:rsidRDefault="003B73FB" w:rsidP="00487A27">
      <w:pPr>
        <w:pStyle w:val="Textoindependiente"/>
        <w:ind w:left="284"/>
        <w:jc w:val="both"/>
        <w:rPr>
          <w:rFonts w:eastAsia="Calibri"/>
        </w:rPr>
      </w:pPr>
    </w:p>
    <w:p w:rsidR="00D3757C" w:rsidRDefault="00D3757C">
      <w:pPr>
        <w:pStyle w:val="Textoindependiente"/>
        <w:rPr>
          <w:sz w:val="24"/>
        </w:rPr>
      </w:pPr>
    </w:p>
    <w:p w:rsidR="00D3757C" w:rsidRDefault="00D3757C">
      <w:pPr>
        <w:pStyle w:val="Textoindependiente"/>
        <w:rPr>
          <w:sz w:val="24"/>
        </w:rPr>
      </w:pPr>
    </w:p>
    <w:p w:rsidR="00D3757C" w:rsidRDefault="00D3757C">
      <w:pPr>
        <w:pStyle w:val="Textoindependiente"/>
        <w:rPr>
          <w:sz w:val="24"/>
        </w:rPr>
      </w:pPr>
    </w:p>
    <w:p w:rsidR="00D3757C" w:rsidRPr="00EE6B4E" w:rsidRDefault="00EE6B4E" w:rsidP="00EE6B4E">
      <w:pPr>
        <w:pStyle w:val="Textoindependiente"/>
        <w:spacing w:before="7"/>
        <w:jc w:val="center"/>
        <w:rPr>
          <w:color w:val="FF0000"/>
          <w:sz w:val="35"/>
        </w:rPr>
      </w:pPr>
      <w:r w:rsidRPr="00EE6B4E">
        <w:rPr>
          <w:color w:val="FF0000"/>
          <w:sz w:val="24"/>
        </w:rPr>
        <w:t>ORIGINAL FIRMADO</w:t>
      </w:r>
    </w:p>
    <w:p w:rsidR="00D3757C" w:rsidRDefault="003A09B7">
      <w:pPr>
        <w:pStyle w:val="Ttulo1"/>
        <w:spacing w:before="35"/>
        <w:ind w:right="1908"/>
        <w:jc w:val="center"/>
      </w:pPr>
      <w:r>
        <w:t>SANDRA PATRICIA MEJIA ABELLO</w:t>
      </w:r>
    </w:p>
    <w:p w:rsidR="00D3757C" w:rsidRDefault="00CB4616">
      <w:pPr>
        <w:pStyle w:val="Textoindependiente"/>
        <w:spacing w:before="40"/>
        <w:ind w:left="2087" w:right="1905"/>
        <w:jc w:val="center"/>
      </w:pPr>
      <w:r>
        <w:t>Jefe de la oficina asesora d</w:t>
      </w:r>
      <w:bookmarkStart w:id="0" w:name="_GoBack"/>
      <w:r>
        <w:t>e</w:t>
      </w:r>
      <w:bookmarkEnd w:id="0"/>
      <w:r>
        <w:t xml:space="preserve"> control interno</w:t>
      </w:r>
    </w:p>
    <w:sectPr w:rsidR="00D3757C" w:rsidSect="00D87EC5">
      <w:headerReference w:type="default" r:id="rId17"/>
      <w:footerReference w:type="default" r:id="rId18"/>
      <w:pgSz w:w="12240" w:h="15840" w:code="1"/>
      <w:pgMar w:top="540" w:right="1580" w:bottom="1280" w:left="1400" w:header="0" w:footer="10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A7" w:rsidRDefault="007A6DA7">
      <w:r>
        <w:separator/>
      </w:r>
    </w:p>
  </w:endnote>
  <w:endnote w:type="continuationSeparator" w:id="0">
    <w:p w:rsidR="007A6DA7" w:rsidRDefault="007A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ork Sans 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2A" w:rsidRDefault="009D232A">
    <w:pPr>
      <w:pStyle w:val="Textoindependiente"/>
      <w:spacing w:line="14" w:lineRule="auto"/>
      <w:rPr>
        <w:sz w:val="20"/>
      </w:rPr>
    </w:pPr>
    <w:r>
      <w:rPr>
        <w:noProof/>
        <w:lang w:bidi="ar-SA"/>
      </w:rPr>
      <mc:AlternateContent>
        <mc:Choice Requires="wps">
          <w:drawing>
            <wp:anchor distT="0" distB="0" distL="114300" distR="114300" simplePos="0" relativeHeight="503211104" behindDoc="1" locked="0" layoutInCell="1" allowOverlap="1" wp14:anchorId="4BAD06BA" wp14:editId="47E7E9E2">
              <wp:simplePos x="0" y="0"/>
              <wp:positionH relativeFrom="page">
                <wp:posOffset>1297940</wp:posOffset>
              </wp:positionH>
              <wp:positionV relativeFrom="page">
                <wp:posOffset>11047095</wp:posOffset>
              </wp:positionV>
              <wp:extent cx="5238750" cy="336550"/>
              <wp:effectExtent l="254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32A" w:rsidRDefault="009D232A">
                          <w:pPr>
                            <w:pStyle w:val="Textoindependiente"/>
                            <w:spacing w:line="232" w:lineRule="exact"/>
                            <w:ind w:left="45" w:right="45"/>
                            <w:jc w:val="center"/>
                          </w:pPr>
                          <w:r>
                            <w:rPr>
                              <w:w w:val="90"/>
                            </w:rPr>
                            <w:t>Calle 36 Nº 21-16. PBX: 6337682-6421057 Fax: 6339184-6303842 Bucaramanga, Colombia</w:t>
                          </w:r>
                        </w:p>
                        <w:p w:rsidR="009D232A" w:rsidRDefault="007A6DA7">
                          <w:pPr>
                            <w:pStyle w:val="Textoindependiente"/>
                            <w:spacing w:before="16"/>
                            <w:ind w:left="45" w:right="136"/>
                            <w:jc w:val="center"/>
                          </w:pPr>
                          <w:hyperlink r:id="rId1">
                            <w:r w:rsidR="009D232A">
                              <w:rPr>
                                <w:color w:val="0000FF"/>
                                <w:u w:val="single" w:color="0000FF"/>
                              </w:rPr>
                              <w:t>www.loteriasantander.gov.co</w:t>
                            </w:r>
                            <w:r w:rsidR="009D232A">
                              <w:rPr>
                                <w:color w:val="0000FF"/>
                              </w:rPr>
                              <w:t xml:space="preserve"> </w:t>
                            </w:r>
                          </w:hyperlink>
                          <w:r w:rsidR="009D232A">
                            <w:t xml:space="preserve">– e-mail: </w:t>
                          </w:r>
                          <w:hyperlink r:id="rId2">
                            <w:r w:rsidR="009D232A">
                              <w:t>sistemas@loteriasantander.com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02.2pt;margin-top:869.85pt;width:412.5pt;height:26.5pt;z-index:-1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2NrAIAAKk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" filled="f" stroked="f">
              <v:textbox inset="0,0,0,0">
                <w:txbxContent>
                  <w:p w:rsidR="009D232A" w:rsidRDefault="009D232A">
                    <w:pPr>
                      <w:pStyle w:val="Textoindependiente"/>
                      <w:spacing w:line="232" w:lineRule="exact"/>
                      <w:ind w:left="45" w:right="45"/>
                      <w:jc w:val="center"/>
                    </w:pPr>
                    <w:r>
                      <w:rPr>
                        <w:w w:val="90"/>
                      </w:rPr>
                      <w:t>Calle 36 Nº 21-16. PBX: 6337682-6421057 Fax: 6339184-6303842 Bucaramanga, Colombia</w:t>
                    </w:r>
                  </w:p>
                  <w:p w:rsidR="009D232A" w:rsidRDefault="009D232A">
                    <w:pPr>
                      <w:pStyle w:val="Textoindependiente"/>
                      <w:spacing w:before="16"/>
                      <w:ind w:left="45" w:right="136"/>
                      <w:jc w:val="center"/>
                    </w:pPr>
                    <w:hyperlink r:id="rId3">
                      <w:r>
                        <w:rPr>
                          <w:color w:val="0000FF"/>
                          <w:u w:val="single" w:color="0000FF"/>
                        </w:rPr>
                        <w:t>www.loteriasantander.gov.co</w:t>
                      </w:r>
                      <w:r>
                        <w:rPr>
                          <w:color w:val="0000FF"/>
                        </w:rPr>
                        <w:t xml:space="preserve"> </w:t>
                      </w:r>
                    </w:hyperlink>
                    <w:r>
                      <w:t xml:space="preserve">– e-mail: </w:t>
                    </w:r>
                    <w:hyperlink r:id="rId4">
                      <w:r>
                        <w:t>sistemas@loteriasantander.com</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2A" w:rsidRDefault="009D232A">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A7" w:rsidRDefault="007A6DA7">
      <w:r>
        <w:separator/>
      </w:r>
    </w:p>
  </w:footnote>
  <w:footnote w:type="continuationSeparator" w:id="0">
    <w:p w:rsidR="007A6DA7" w:rsidRDefault="007A6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2A" w:rsidRDefault="009D232A">
    <w:pPr>
      <w:pStyle w:val="Textoindependiente"/>
      <w:spacing w:line="14" w:lineRule="auto"/>
      <w:rPr>
        <w:sz w:val="20"/>
      </w:rPr>
    </w:pPr>
    <w:r>
      <w:rPr>
        <w:noProof/>
        <w:lang w:bidi="ar-SA"/>
      </w:rPr>
      <w:drawing>
        <wp:anchor distT="0" distB="0" distL="0" distR="0" simplePos="0" relativeHeight="268330055" behindDoc="1" locked="0" layoutInCell="1" allowOverlap="1" wp14:anchorId="71922E32" wp14:editId="10033305">
          <wp:simplePos x="0" y="0"/>
          <wp:positionH relativeFrom="page">
            <wp:posOffset>1076325</wp:posOffset>
          </wp:positionH>
          <wp:positionV relativeFrom="page">
            <wp:posOffset>352425</wp:posOffset>
          </wp:positionV>
          <wp:extent cx="1743075" cy="49530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47097" cy="496443"/>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2A" w:rsidRDefault="009D232A">
    <w:pPr>
      <w:pStyle w:val="Encabezado"/>
    </w:pPr>
  </w:p>
  <w:p w:rsidR="009D232A" w:rsidRDefault="009D232A">
    <w:pPr>
      <w:pStyle w:val="Encabezado"/>
    </w:pPr>
  </w:p>
  <w:p w:rsidR="009D232A" w:rsidRDefault="009D232A">
    <w:pPr>
      <w:pStyle w:val="Encabezado"/>
    </w:pPr>
  </w:p>
  <w:p w:rsidR="009D232A" w:rsidRDefault="009D232A">
    <w:pPr>
      <w:pStyle w:val="Encabezado"/>
    </w:pPr>
    <w:r>
      <w:rPr>
        <w:noProof/>
        <w:lang w:bidi="ar-SA"/>
      </w:rPr>
      <w:drawing>
        <wp:anchor distT="0" distB="0" distL="0" distR="0" simplePos="0" relativeHeight="503213152" behindDoc="1" locked="0" layoutInCell="1" allowOverlap="1" wp14:anchorId="50909108" wp14:editId="5518B0AE">
          <wp:simplePos x="0" y="0"/>
          <wp:positionH relativeFrom="page">
            <wp:posOffset>1228726</wp:posOffset>
          </wp:positionH>
          <wp:positionV relativeFrom="page">
            <wp:posOffset>504825</wp:posOffset>
          </wp:positionV>
          <wp:extent cx="1676400" cy="49530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400" cy="495300"/>
                  </a:xfrm>
                  <a:prstGeom prst="rect">
                    <a:avLst/>
                  </a:prstGeom>
                </pic:spPr>
              </pic:pic>
            </a:graphicData>
          </a:graphic>
          <wp14:sizeRelH relativeFrom="margin">
            <wp14:pctWidth>0</wp14:pctWidth>
          </wp14:sizeRelH>
        </wp:anchor>
      </w:drawing>
    </w:r>
  </w:p>
  <w:p w:rsidR="009D232A" w:rsidRDefault="009D232A">
    <w:pPr>
      <w:pStyle w:val="Encabezado"/>
    </w:pPr>
  </w:p>
  <w:p w:rsidR="009D232A" w:rsidRDefault="009D232A">
    <w:pPr>
      <w:pStyle w:val="Encabezado"/>
    </w:pPr>
  </w:p>
  <w:p w:rsidR="009D232A" w:rsidRDefault="009D232A">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16733"/>
    <w:multiLevelType w:val="multilevel"/>
    <w:tmpl w:val="461AC09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3253546E"/>
    <w:multiLevelType w:val="multilevel"/>
    <w:tmpl w:val="6D6E8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6362A1"/>
    <w:multiLevelType w:val="hybridMultilevel"/>
    <w:tmpl w:val="0636967E"/>
    <w:lvl w:ilvl="0" w:tplc="240A000B">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
    <w:nsid w:val="482B62D0"/>
    <w:multiLevelType w:val="hybridMultilevel"/>
    <w:tmpl w:val="3C284E8E"/>
    <w:lvl w:ilvl="0" w:tplc="260C219C">
      <w:numFmt w:val="bullet"/>
      <w:lvlText w:val=""/>
      <w:lvlJc w:val="left"/>
      <w:pPr>
        <w:ind w:left="1022" w:hanging="720"/>
      </w:pPr>
      <w:rPr>
        <w:rFonts w:ascii="Symbol" w:eastAsia="Symbol" w:hAnsi="Symbol" w:cs="Symbol" w:hint="default"/>
        <w:w w:val="100"/>
        <w:sz w:val="22"/>
        <w:szCs w:val="22"/>
        <w:lang w:val="es-CO" w:eastAsia="es-CO" w:bidi="es-CO"/>
      </w:rPr>
    </w:lvl>
    <w:lvl w:ilvl="1" w:tplc="D49283FE">
      <w:numFmt w:val="bullet"/>
      <w:lvlText w:val="•"/>
      <w:lvlJc w:val="left"/>
      <w:pPr>
        <w:ind w:left="1844" w:hanging="720"/>
      </w:pPr>
      <w:rPr>
        <w:rFonts w:hint="default"/>
        <w:lang w:val="es-CO" w:eastAsia="es-CO" w:bidi="es-CO"/>
      </w:rPr>
    </w:lvl>
    <w:lvl w:ilvl="2" w:tplc="31AE63A8">
      <w:numFmt w:val="bullet"/>
      <w:lvlText w:val="•"/>
      <w:lvlJc w:val="left"/>
      <w:pPr>
        <w:ind w:left="2668" w:hanging="720"/>
      </w:pPr>
      <w:rPr>
        <w:rFonts w:hint="default"/>
        <w:lang w:val="es-CO" w:eastAsia="es-CO" w:bidi="es-CO"/>
      </w:rPr>
    </w:lvl>
    <w:lvl w:ilvl="3" w:tplc="8C922CA4">
      <w:numFmt w:val="bullet"/>
      <w:lvlText w:val="•"/>
      <w:lvlJc w:val="left"/>
      <w:pPr>
        <w:ind w:left="3492" w:hanging="720"/>
      </w:pPr>
      <w:rPr>
        <w:rFonts w:hint="default"/>
        <w:lang w:val="es-CO" w:eastAsia="es-CO" w:bidi="es-CO"/>
      </w:rPr>
    </w:lvl>
    <w:lvl w:ilvl="4" w:tplc="15BC457C">
      <w:numFmt w:val="bullet"/>
      <w:lvlText w:val="•"/>
      <w:lvlJc w:val="left"/>
      <w:pPr>
        <w:ind w:left="4316" w:hanging="720"/>
      </w:pPr>
      <w:rPr>
        <w:rFonts w:hint="default"/>
        <w:lang w:val="es-CO" w:eastAsia="es-CO" w:bidi="es-CO"/>
      </w:rPr>
    </w:lvl>
    <w:lvl w:ilvl="5" w:tplc="F7288424">
      <w:numFmt w:val="bullet"/>
      <w:lvlText w:val="•"/>
      <w:lvlJc w:val="left"/>
      <w:pPr>
        <w:ind w:left="5141" w:hanging="720"/>
      </w:pPr>
      <w:rPr>
        <w:rFonts w:hint="default"/>
        <w:lang w:val="es-CO" w:eastAsia="es-CO" w:bidi="es-CO"/>
      </w:rPr>
    </w:lvl>
    <w:lvl w:ilvl="6" w:tplc="C930F1DC">
      <w:numFmt w:val="bullet"/>
      <w:lvlText w:val="•"/>
      <w:lvlJc w:val="left"/>
      <w:pPr>
        <w:ind w:left="5965" w:hanging="720"/>
      </w:pPr>
      <w:rPr>
        <w:rFonts w:hint="default"/>
        <w:lang w:val="es-CO" w:eastAsia="es-CO" w:bidi="es-CO"/>
      </w:rPr>
    </w:lvl>
    <w:lvl w:ilvl="7" w:tplc="0F4C1E82">
      <w:numFmt w:val="bullet"/>
      <w:lvlText w:val="•"/>
      <w:lvlJc w:val="left"/>
      <w:pPr>
        <w:ind w:left="6789" w:hanging="720"/>
      </w:pPr>
      <w:rPr>
        <w:rFonts w:hint="default"/>
        <w:lang w:val="es-CO" w:eastAsia="es-CO" w:bidi="es-CO"/>
      </w:rPr>
    </w:lvl>
    <w:lvl w:ilvl="8" w:tplc="C94A98AE">
      <w:numFmt w:val="bullet"/>
      <w:lvlText w:val="•"/>
      <w:lvlJc w:val="left"/>
      <w:pPr>
        <w:ind w:left="7613" w:hanging="720"/>
      </w:pPr>
      <w:rPr>
        <w:rFonts w:hint="default"/>
        <w:lang w:val="es-CO" w:eastAsia="es-CO" w:bidi="es-CO"/>
      </w:rPr>
    </w:lvl>
  </w:abstractNum>
  <w:abstractNum w:abstractNumId="4">
    <w:nsid w:val="589B744F"/>
    <w:multiLevelType w:val="hybridMultilevel"/>
    <w:tmpl w:val="50E008B4"/>
    <w:lvl w:ilvl="0" w:tplc="1FC88002">
      <w:start w:val="1"/>
      <w:numFmt w:val="decimal"/>
      <w:lvlText w:val="%1."/>
      <w:lvlJc w:val="left"/>
      <w:pPr>
        <w:ind w:left="-46" w:hanging="360"/>
      </w:pPr>
      <w:rPr>
        <w:rFonts w:hint="default"/>
      </w:rPr>
    </w:lvl>
    <w:lvl w:ilvl="1" w:tplc="240A0019">
      <w:start w:val="1"/>
      <w:numFmt w:val="lowerLetter"/>
      <w:lvlText w:val="%2."/>
      <w:lvlJc w:val="left"/>
      <w:pPr>
        <w:ind w:left="674" w:hanging="360"/>
      </w:pPr>
    </w:lvl>
    <w:lvl w:ilvl="2" w:tplc="240A001B" w:tentative="1">
      <w:start w:val="1"/>
      <w:numFmt w:val="lowerRoman"/>
      <w:lvlText w:val="%3."/>
      <w:lvlJc w:val="right"/>
      <w:pPr>
        <w:ind w:left="1394" w:hanging="180"/>
      </w:pPr>
    </w:lvl>
    <w:lvl w:ilvl="3" w:tplc="240A000F" w:tentative="1">
      <w:start w:val="1"/>
      <w:numFmt w:val="decimal"/>
      <w:lvlText w:val="%4."/>
      <w:lvlJc w:val="left"/>
      <w:pPr>
        <w:ind w:left="2114" w:hanging="360"/>
      </w:pPr>
    </w:lvl>
    <w:lvl w:ilvl="4" w:tplc="240A0019" w:tentative="1">
      <w:start w:val="1"/>
      <w:numFmt w:val="lowerLetter"/>
      <w:lvlText w:val="%5."/>
      <w:lvlJc w:val="left"/>
      <w:pPr>
        <w:ind w:left="2834" w:hanging="360"/>
      </w:pPr>
    </w:lvl>
    <w:lvl w:ilvl="5" w:tplc="240A001B" w:tentative="1">
      <w:start w:val="1"/>
      <w:numFmt w:val="lowerRoman"/>
      <w:lvlText w:val="%6."/>
      <w:lvlJc w:val="right"/>
      <w:pPr>
        <w:ind w:left="3554" w:hanging="180"/>
      </w:pPr>
    </w:lvl>
    <w:lvl w:ilvl="6" w:tplc="240A000F" w:tentative="1">
      <w:start w:val="1"/>
      <w:numFmt w:val="decimal"/>
      <w:lvlText w:val="%7."/>
      <w:lvlJc w:val="left"/>
      <w:pPr>
        <w:ind w:left="4274" w:hanging="360"/>
      </w:pPr>
    </w:lvl>
    <w:lvl w:ilvl="7" w:tplc="240A0019" w:tentative="1">
      <w:start w:val="1"/>
      <w:numFmt w:val="lowerLetter"/>
      <w:lvlText w:val="%8."/>
      <w:lvlJc w:val="left"/>
      <w:pPr>
        <w:ind w:left="4994" w:hanging="360"/>
      </w:pPr>
    </w:lvl>
    <w:lvl w:ilvl="8" w:tplc="240A001B" w:tentative="1">
      <w:start w:val="1"/>
      <w:numFmt w:val="lowerRoman"/>
      <w:lvlText w:val="%9."/>
      <w:lvlJc w:val="right"/>
      <w:pPr>
        <w:ind w:left="5714" w:hanging="180"/>
      </w:pPr>
    </w:lvl>
  </w:abstractNum>
  <w:abstractNum w:abstractNumId="5">
    <w:nsid w:val="6D0D5058"/>
    <w:multiLevelType w:val="hybridMultilevel"/>
    <w:tmpl w:val="23CCC090"/>
    <w:lvl w:ilvl="0" w:tplc="CE448A56">
      <w:start w:val="1"/>
      <w:numFmt w:val="decimal"/>
      <w:lvlText w:val="%1."/>
      <w:lvlJc w:val="left"/>
      <w:pPr>
        <w:ind w:left="1010" w:hanging="708"/>
      </w:pPr>
      <w:rPr>
        <w:rFonts w:ascii="Arial" w:eastAsia="Arial" w:hAnsi="Arial" w:cs="Arial" w:hint="default"/>
        <w:b/>
        <w:bCs/>
        <w:spacing w:val="-1"/>
        <w:w w:val="100"/>
        <w:sz w:val="22"/>
        <w:szCs w:val="22"/>
        <w:lang w:val="es-CO" w:eastAsia="es-CO" w:bidi="es-CO"/>
      </w:rPr>
    </w:lvl>
    <w:lvl w:ilvl="1" w:tplc="6954124A">
      <w:numFmt w:val="bullet"/>
      <w:lvlText w:val="•"/>
      <w:lvlJc w:val="left"/>
      <w:pPr>
        <w:ind w:left="1844" w:hanging="708"/>
      </w:pPr>
      <w:rPr>
        <w:rFonts w:hint="default"/>
        <w:lang w:val="es-CO" w:eastAsia="es-CO" w:bidi="es-CO"/>
      </w:rPr>
    </w:lvl>
    <w:lvl w:ilvl="2" w:tplc="F72847FC">
      <w:numFmt w:val="bullet"/>
      <w:lvlText w:val="•"/>
      <w:lvlJc w:val="left"/>
      <w:pPr>
        <w:ind w:left="2668" w:hanging="708"/>
      </w:pPr>
      <w:rPr>
        <w:rFonts w:hint="default"/>
        <w:lang w:val="es-CO" w:eastAsia="es-CO" w:bidi="es-CO"/>
      </w:rPr>
    </w:lvl>
    <w:lvl w:ilvl="3" w:tplc="E9342360">
      <w:numFmt w:val="bullet"/>
      <w:lvlText w:val="•"/>
      <w:lvlJc w:val="left"/>
      <w:pPr>
        <w:ind w:left="3492" w:hanging="708"/>
      </w:pPr>
      <w:rPr>
        <w:rFonts w:hint="default"/>
        <w:lang w:val="es-CO" w:eastAsia="es-CO" w:bidi="es-CO"/>
      </w:rPr>
    </w:lvl>
    <w:lvl w:ilvl="4" w:tplc="A524DE80">
      <w:numFmt w:val="bullet"/>
      <w:lvlText w:val="•"/>
      <w:lvlJc w:val="left"/>
      <w:pPr>
        <w:ind w:left="4316" w:hanging="708"/>
      </w:pPr>
      <w:rPr>
        <w:rFonts w:hint="default"/>
        <w:lang w:val="es-CO" w:eastAsia="es-CO" w:bidi="es-CO"/>
      </w:rPr>
    </w:lvl>
    <w:lvl w:ilvl="5" w:tplc="8BF02090">
      <w:numFmt w:val="bullet"/>
      <w:lvlText w:val="•"/>
      <w:lvlJc w:val="left"/>
      <w:pPr>
        <w:ind w:left="5141" w:hanging="708"/>
      </w:pPr>
      <w:rPr>
        <w:rFonts w:hint="default"/>
        <w:lang w:val="es-CO" w:eastAsia="es-CO" w:bidi="es-CO"/>
      </w:rPr>
    </w:lvl>
    <w:lvl w:ilvl="6" w:tplc="AF12E1AC">
      <w:numFmt w:val="bullet"/>
      <w:lvlText w:val="•"/>
      <w:lvlJc w:val="left"/>
      <w:pPr>
        <w:ind w:left="5965" w:hanging="708"/>
      </w:pPr>
      <w:rPr>
        <w:rFonts w:hint="default"/>
        <w:lang w:val="es-CO" w:eastAsia="es-CO" w:bidi="es-CO"/>
      </w:rPr>
    </w:lvl>
    <w:lvl w:ilvl="7" w:tplc="117C02A2">
      <w:numFmt w:val="bullet"/>
      <w:lvlText w:val="•"/>
      <w:lvlJc w:val="left"/>
      <w:pPr>
        <w:ind w:left="6789" w:hanging="708"/>
      </w:pPr>
      <w:rPr>
        <w:rFonts w:hint="default"/>
        <w:lang w:val="es-CO" w:eastAsia="es-CO" w:bidi="es-CO"/>
      </w:rPr>
    </w:lvl>
    <w:lvl w:ilvl="8" w:tplc="76865A6C">
      <w:numFmt w:val="bullet"/>
      <w:lvlText w:val="•"/>
      <w:lvlJc w:val="left"/>
      <w:pPr>
        <w:ind w:left="7613" w:hanging="708"/>
      </w:pPr>
      <w:rPr>
        <w:rFonts w:hint="default"/>
        <w:lang w:val="es-CO" w:eastAsia="es-CO" w:bidi="es-CO"/>
      </w:rPr>
    </w:lvl>
  </w:abstractNum>
  <w:abstractNum w:abstractNumId="6">
    <w:nsid w:val="7B22271E"/>
    <w:multiLevelType w:val="hybridMultilevel"/>
    <w:tmpl w:val="ED4E60B6"/>
    <w:lvl w:ilvl="0" w:tplc="D49283FE">
      <w:numFmt w:val="bullet"/>
      <w:lvlText w:val="•"/>
      <w:lvlJc w:val="left"/>
      <w:pPr>
        <w:ind w:left="720" w:hanging="360"/>
      </w:pPr>
      <w:rPr>
        <w:rFonts w:hint="default"/>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E461524"/>
    <w:multiLevelType w:val="multilevel"/>
    <w:tmpl w:val="0EA6747E"/>
    <w:lvl w:ilvl="0">
      <w:start w:val="1"/>
      <w:numFmt w:val="decimal"/>
      <w:lvlText w:val="%1."/>
      <w:lvlJc w:val="left"/>
      <w:pPr>
        <w:ind w:left="302" w:hanging="708"/>
      </w:pPr>
      <w:rPr>
        <w:rFonts w:hint="default"/>
        <w:spacing w:val="-1"/>
        <w:w w:val="100"/>
        <w:lang w:val="es-CO" w:eastAsia="es-CO" w:bidi="es-CO"/>
      </w:rPr>
    </w:lvl>
    <w:lvl w:ilvl="1">
      <w:start w:val="1"/>
      <w:numFmt w:val="decimal"/>
      <w:lvlText w:val="%1.%2"/>
      <w:lvlJc w:val="left"/>
      <w:pPr>
        <w:ind w:left="1038" w:hanging="737"/>
      </w:pPr>
      <w:rPr>
        <w:rFonts w:ascii="Arial" w:eastAsia="Arial" w:hAnsi="Arial" w:cs="Arial" w:hint="default"/>
        <w:b/>
        <w:bCs/>
        <w:spacing w:val="-1"/>
        <w:w w:val="100"/>
        <w:sz w:val="22"/>
        <w:szCs w:val="22"/>
        <w:lang w:val="es-CO" w:eastAsia="es-CO" w:bidi="es-CO"/>
      </w:rPr>
    </w:lvl>
    <w:lvl w:ilvl="2">
      <w:numFmt w:val="bullet"/>
      <w:lvlText w:val="•"/>
      <w:lvlJc w:val="left"/>
      <w:pPr>
        <w:ind w:left="1953" w:hanging="737"/>
      </w:pPr>
      <w:rPr>
        <w:rFonts w:hint="default"/>
        <w:lang w:val="es-CO" w:eastAsia="es-CO" w:bidi="es-CO"/>
      </w:rPr>
    </w:lvl>
    <w:lvl w:ilvl="3">
      <w:numFmt w:val="bullet"/>
      <w:lvlText w:val="•"/>
      <w:lvlJc w:val="left"/>
      <w:pPr>
        <w:ind w:left="2867" w:hanging="737"/>
      </w:pPr>
      <w:rPr>
        <w:rFonts w:hint="default"/>
        <w:lang w:val="es-CO" w:eastAsia="es-CO" w:bidi="es-CO"/>
      </w:rPr>
    </w:lvl>
    <w:lvl w:ilvl="4">
      <w:numFmt w:val="bullet"/>
      <w:lvlText w:val="•"/>
      <w:lvlJc w:val="left"/>
      <w:pPr>
        <w:ind w:left="3780" w:hanging="737"/>
      </w:pPr>
      <w:rPr>
        <w:rFonts w:hint="default"/>
        <w:lang w:val="es-CO" w:eastAsia="es-CO" w:bidi="es-CO"/>
      </w:rPr>
    </w:lvl>
    <w:lvl w:ilvl="5">
      <w:numFmt w:val="bullet"/>
      <w:lvlText w:val="•"/>
      <w:lvlJc w:val="left"/>
      <w:pPr>
        <w:ind w:left="4694" w:hanging="737"/>
      </w:pPr>
      <w:rPr>
        <w:rFonts w:hint="default"/>
        <w:lang w:val="es-CO" w:eastAsia="es-CO" w:bidi="es-CO"/>
      </w:rPr>
    </w:lvl>
    <w:lvl w:ilvl="6">
      <w:numFmt w:val="bullet"/>
      <w:lvlText w:val="•"/>
      <w:lvlJc w:val="left"/>
      <w:pPr>
        <w:ind w:left="5608" w:hanging="737"/>
      </w:pPr>
      <w:rPr>
        <w:rFonts w:hint="default"/>
        <w:lang w:val="es-CO" w:eastAsia="es-CO" w:bidi="es-CO"/>
      </w:rPr>
    </w:lvl>
    <w:lvl w:ilvl="7">
      <w:numFmt w:val="bullet"/>
      <w:lvlText w:val="•"/>
      <w:lvlJc w:val="left"/>
      <w:pPr>
        <w:ind w:left="6521" w:hanging="737"/>
      </w:pPr>
      <w:rPr>
        <w:rFonts w:hint="default"/>
        <w:lang w:val="es-CO" w:eastAsia="es-CO" w:bidi="es-CO"/>
      </w:rPr>
    </w:lvl>
    <w:lvl w:ilvl="8">
      <w:numFmt w:val="bullet"/>
      <w:lvlText w:val="•"/>
      <w:lvlJc w:val="left"/>
      <w:pPr>
        <w:ind w:left="7435" w:hanging="737"/>
      </w:pPr>
      <w:rPr>
        <w:rFonts w:hint="default"/>
        <w:lang w:val="es-CO" w:eastAsia="es-CO" w:bidi="es-CO"/>
      </w:rPr>
    </w:lvl>
  </w:abstractNum>
  <w:num w:numId="1">
    <w:abstractNumId w:val="7"/>
  </w:num>
  <w:num w:numId="2">
    <w:abstractNumId w:val="3"/>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7C"/>
    <w:rsid w:val="00006C07"/>
    <w:rsid w:val="00007D58"/>
    <w:rsid w:val="00007D97"/>
    <w:rsid w:val="00010D3F"/>
    <w:rsid w:val="00014933"/>
    <w:rsid w:val="000476FA"/>
    <w:rsid w:val="000504A0"/>
    <w:rsid w:val="00052A57"/>
    <w:rsid w:val="00056575"/>
    <w:rsid w:val="00066B3C"/>
    <w:rsid w:val="000671AF"/>
    <w:rsid w:val="00072B65"/>
    <w:rsid w:val="00082A3B"/>
    <w:rsid w:val="000877D3"/>
    <w:rsid w:val="0009493C"/>
    <w:rsid w:val="000977D4"/>
    <w:rsid w:val="00097AB9"/>
    <w:rsid w:val="000A150C"/>
    <w:rsid w:val="000A1755"/>
    <w:rsid w:val="000A21E9"/>
    <w:rsid w:val="000B5787"/>
    <w:rsid w:val="000B78EF"/>
    <w:rsid w:val="000D6740"/>
    <w:rsid w:val="000D75D2"/>
    <w:rsid w:val="000E66AB"/>
    <w:rsid w:val="000F1C56"/>
    <w:rsid w:val="001034E9"/>
    <w:rsid w:val="00107BB8"/>
    <w:rsid w:val="0011449A"/>
    <w:rsid w:val="001145D8"/>
    <w:rsid w:val="00115AF2"/>
    <w:rsid w:val="001267E2"/>
    <w:rsid w:val="001322FF"/>
    <w:rsid w:val="0014227F"/>
    <w:rsid w:val="001438A5"/>
    <w:rsid w:val="001462BB"/>
    <w:rsid w:val="00161A27"/>
    <w:rsid w:val="001620EC"/>
    <w:rsid w:val="001710D1"/>
    <w:rsid w:val="00172263"/>
    <w:rsid w:val="0017415B"/>
    <w:rsid w:val="0018591E"/>
    <w:rsid w:val="00190DFB"/>
    <w:rsid w:val="00194EFB"/>
    <w:rsid w:val="00197AC8"/>
    <w:rsid w:val="00197AE5"/>
    <w:rsid w:val="001A7988"/>
    <w:rsid w:val="001B1AC8"/>
    <w:rsid w:val="001C20FE"/>
    <w:rsid w:val="001C6360"/>
    <w:rsid w:val="001C6E86"/>
    <w:rsid w:val="001C77C8"/>
    <w:rsid w:val="001D08B9"/>
    <w:rsid w:val="001D78B2"/>
    <w:rsid w:val="001E2CB2"/>
    <w:rsid w:val="001E52E1"/>
    <w:rsid w:val="001E6260"/>
    <w:rsid w:val="001F1D37"/>
    <w:rsid w:val="001F4706"/>
    <w:rsid w:val="001F56E3"/>
    <w:rsid w:val="001F7495"/>
    <w:rsid w:val="00201BDB"/>
    <w:rsid w:val="002134C7"/>
    <w:rsid w:val="00213917"/>
    <w:rsid w:val="002145E8"/>
    <w:rsid w:val="0021578C"/>
    <w:rsid w:val="002214D5"/>
    <w:rsid w:val="00224077"/>
    <w:rsid w:val="00225605"/>
    <w:rsid w:val="002449A5"/>
    <w:rsid w:val="00247889"/>
    <w:rsid w:val="00247CC3"/>
    <w:rsid w:val="00250183"/>
    <w:rsid w:val="00251941"/>
    <w:rsid w:val="0025638D"/>
    <w:rsid w:val="00261143"/>
    <w:rsid w:val="002621A9"/>
    <w:rsid w:val="002643F0"/>
    <w:rsid w:val="00266C66"/>
    <w:rsid w:val="002701AE"/>
    <w:rsid w:val="00272353"/>
    <w:rsid w:val="00275A4F"/>
    <w:rsid w:val="00277513"/>
    <w:rsid w:val="00284278"/>
    <w:rsid w:val="00291CA5"/>
    <w:rsid w:val="00292141"/>
    <w:rsid w:val="002949CB"/>
    <w:rsid w:val="002A0B3B"/>
    <w:rsid w:val="002A2BD0"/>
    <w:rsid w:val="002B0186"/>
    <w:rsid w:val="002B44B4"/>
    <w:rsid w:val="002B793C"/>
    <w:rsid w:val="002C1D4F"/>
    <w:rsid w:val="002D35A7"/>
    <w:rsid w:val="002E4C02"/>
    <w:rsid w:val="002E62B6"/>
    <w:rsid w:val="002F3098"/>
    <w:rsid w:val="00301EEB"/>
    <w:rsid w:val="00302330"/>
    <w:rsid w:val="00305A36"/>
    <w:rsid w:val="00307DE8"/>
    <w:rsid w:val="00310258"/>
    <w:rsid w:val="00314CC9"/>
    <w:rsid w:val="00317CC3"/>
    <w:rsid w:val="00320E0B"/>
    <w:rsid w:val="0032223B"/>
    <w:rsid w:val="00335DF9"/>
    <w:rsid w:val="00340991"/>
    <w:rsid w:val="0034696B"/>
    <w:rsid w:val="0035351C"/>
    <w:rsid w:val="00353A44"/>
    <w:rsid w:val="00361B1B"/>
    <w:rsid w:val="00362277"/>
    <w:rsid w:val="00364C95"/>
    <w:rsid w:val="00366A62"/>
    <w:rsid w:val="0037169B"/>
    <w:rsid w:val="003776F3"/>
    <w:rsid w:val="0038253E"/>
    <w:rsid w:val="00394142"/>
    <w:rsid w:val="00397DBF"/>
    <w:rsid w:val="003A09B7"/>
    <w:rsid w:val="003A424C"/>
    <w:rsid w:val="003A4371"/>
    <w:rsid w:val="003B1652"/>
    <w:rsid w:val="003B2B38"/>
    <w:rsid w:val="003B2E91"/>
    <w:rsid w:val="003B6A95"/>
    <w:rsid w:val="003B73FB"/>
    <w:rsid w:val="003D0121"/>
    <w:rsid w:val="003D4325"/>
    <w:rsid w:val="003D7542"/>
    <w:rsid w:val="003E0429"/>
    <w:rsid w:val="003E0EAF"/>
    <w:rsid w:val="003E21E0"/>
    <w:rsid w:val="003F0EA5"/>
    <w:rsid w:val="003F6A68"/>
    <w:rsid w:val="00401318"/>
    <w:rsid w:val="004027E3"/>
    <w:rsid w:val="00410577"/>
    <w:rsid w:val="00413A9B"/>
    <w:rsid w:val="00432F2E"/>
    <w:rsid w:val="00436D33"/>
    <w:rsid w:val="00453022"/>
    <w:rsid w:val="004636EF"/>
    <w:rsid w:val="004706A8"/>
    <w:rsid w:val="0047139A"/>
    <w:rsid w:val="004741A1"/>
    <w:rsid w:val="00487A27"/>
    <w:rsid w:val="004903E7"/>
    <w:rsid w:val="00497599"/>
    <w:rsid w:val="00497F2F"/>
    <w:rsid w:val="004A3D4C"/>
    <w:rsid w:val="004A50B0"/>
    <w:rsid w:val="004A6569"/>
    <w:rsid w:val="004B14CF"/>
    <w:rsid w:val="004B552E"/>
    <w:rsid w:val="004B75D1"/>
    <w:rsid w:val="004C03FD"/>
    <w:rsid w:val="004C6E61"/>
    <w:rsid w:val="004C7679"/>
    <w:rsid w:val="004D04C3"/>
    <w:rsid w:val="004D468A"/>
    <w:rsid w:val="004D6F34"/>
    <w:rsid w:val="004D7DCD"/>
    <w:rsid w:val="004E1A63"/>
    <w:rsid w:val="004E2464"/>
    <w:rsid w:val="004E56C4"/>
    <w:rsid w:val="004F00E5"/>
    <w:rsid w:val="00500253"/>
    <w:rsid w:val="00505A13"/>
    <w:rsid w:val="0050772E"/>
    <w:rsid w:val="00515281"/>
    <w:rsid w:val="00515376"/>
    <w:rsid w:val="005204AA"/>
    <w:rsid w:val="00527AA9"/>
    <w:rsid w:val="00546BDC"/>
    <w:rsid w:val="005506E7"/>
    <w:rsid w:val="00550D0C"/>
    <w:rsid w:val="00554058"/>
    <w:rsid w:val="00561C1A"/>
    <w:rsid w:val="00563FA4"/>
    <w:rsid w:val="00564144"/>
    <w:rsid w:val="005665A7"/>
    <w:rsid w:val="00576895"/>
    <w:rsid w:val="005773B8"/>
    <w:rsid w:val="00584011"/>
    <w:rsid w:val="005870ED"/>
    <w:rsid w:val="00590B62"/>
    <w:rsid w:val="00591FE8"/>
    <w:rsid w:val="00592113"/>
    <w:rsid w:val="005A0CA1"/>
    <w:rsid w:val="005A2F75"/>
    <w:rsid w:val="005A5A95"/>
    <w:rsid w:val="005A5EF1"/>
    <w:rsid w:val="005A798E"/>
    <w:rsid w:val="005A7BB3"/>
    <w:rsid w:val="005D09A7"/>
    <w:rsid w:val="005F38EC"/>
    <w:rsid w:val="00600068"/>
    <w:rsid w:val="0060045F"/>
    <w:rsid w:val="006022F4"/>
    <w:rsid w:val="00603CF9"/>
    <w:rsid w:val="006054D6"/>
    <w:rsid w:val="00610584"/>
    <w:rsid w:val="00613345"/>
    <w:rsid w:val="00620245"/>
    <w:rsid w:val="00632028"/>
    <w:rsid w:val="00633A23"/>
    <w:rsid w:val="00640A0E"/>
    <w:rsid w:val="006460FF"/>
    <w:rsid w:val="00651602"/>
    <w:rsid w:val="006542D2"/>
    <w:rsid w:val="006576A0"/>
    <w:rsid w:val="00666E9B"/>
    <w:rsid w:val="0067553E"/>
    <w:rsid w:val="00680A69"/>
    <w:rsid w:val="00686FE6"/>
    <w:rsid w:val="0068722F"/>
    <w:rsid w:val="00696619"/>
    <w:rsid w:val="006A3037"/>
    <w:rsid w:val="006A3223"/>
    <w:rsid w:val="006A44E2"/>
    <w:rsid w:val="006A5B1C"/>
    <w:rsid w:val="006B137C"/>
    <w:rsid w:val="006B1CE9"/>
    <w:rsid w:val="006B5C03"/>
    <w:rsid w:val="006B7040"/>
    <w:rsid w:val="006D032A"/>
    <w:rsid w:val="006D1DC1"/>
    <w:rsid w:val="006D4B72"/>
    <w:rsid w:val="006E0F74"/>
    <w:rsid w:val="006E3436"/>
    <w:rsid w:val="006E3C04"/>
    <w:rsid w:val="006E5C5D"/>
    <w:rsid w:val="006F3373"/>
    <w:rsid w:val="006F3F30"/>
    <w:rsid w:val="00700141"/>
    <w:rsid w:val="00715B4E"/>
    <w:rsid w:val="00717777"/>
    <w:rsid w:val="00721868"/>
    <w:rsid w:val="00722378"/>
    <w:rsid w:val="00723774"/>
    <w:rsid w:val="007305E2"/>
    <w:rsid w:val="00751EBF"/>
    <w:rsid w:val="00752D36"/>
    <w:rsid w:val="0076030C"/>
    <w:rsid w:val="00763426"/>
    <w:rsid w:val="00772466"/>
    <w:rsid w:val="007760FF"/>
    <w:rsid w:val="007800B9"/>
    <w:rsid w:val="00784F14"/>
    <w:rsid w:val="00797A02"/>
    <w:rsid w:val="00797ADB"/>
    <w:rsid w:val="007A3DB2"/>
    <w:rsid w:val="007A67DF"/>
    <w:rsid w:val="007A6DA7"/>
    <w:rsid w:val="007B532D"/>
    <w:rsid w:val="007B5C42"/>
    <w:rsid w:val="007C2001"/>
    <w:rsid w:val="007C2BC4"/>
    <w:rsid w:val="007C7F95"/>
    <w:rsid w:val="007E487F"/>
    <w:rsid w:val="007F7E86"/>
    <w:rsid w:val="00810CA1"/>
    <w:rsid w:val="0082213B"/>
    <w:rsid w:val="00837CB1"/>
    <w:rsid w:val="00842240"/>
    <w:rsid w:val="008665AB"/>
    <w:rsid w:val="00876D8B"/>
    <w:rsid w:val="00880A8A"/>
    <w:rsid w:val="00886710"/>
    <w:rsid w:val="0088728C"/>
    <w:rsid w:val="0089230D"/>
    <w:rsid w:val="008974DC"/>
    <w:rsid w:val="008A1A4C"/>
    <w:rsid w:val="008A469F"/>
    <w:rsid w:val="008A4735"/>
    <w:rsid w:val="008B0F70"/>
    <w:rsid w:val="008B2099"/>
    <w:rsid w:val="008C120F"/>
    <w:rsid w:val="008D1630"/>
    <w:rsid w:val="008D1F39"/>
    <w:rsid w:val="008E330A"/>
    <w:rsid w:val="008E5864"/>
    <w:rsid w:val="008E6D60"/>
    <w:rsid w:val="008F0896"/>
    <w:rsid w:val="00900930"/>
    <w:rsid w:val="00900DDD"/>
    <w:rsid w:val="009043B3"/>
    <w:rsid w:val="00906C82"/>
    <w:rsid w:val="00916575"/>
    <w:rsid w:val="00916C38"/>
    <w:rsid w:val="00920270"/>
    <w:rsid w:val="009217B1"/>
    <w:rsid w:val="00927061"/>
    <w:rsid w:val="00945E2E"/>
    <w:rsid w:val="00950148"/>
    <w:rsid w:val="00950DD0"/>
    <w:rsid w:val="00964645"/>
    <w:rsid w:val="00965D25"/>
    <w:rsid w:val="00966CAB"/>
    <w:rsid w:val="0097712D"/>
    <w:rsid w:val="00977936"/>
    <w:rsid w:val="009871EE"/>
    <w:rsid w:val="009953E2"/>
    <w:rsid w:val="009A2C3E"/>
    <w:rsid w:val="009A7F16"/>
    <w:rsid w:val="009B5B2B"/>
    <w:rsid w:val="009C5913"/>
    <w:rsid w:val="009D232A"/>
    <w:rsid w:val="009E2AD1"/>
    <w:rsid w:val="009E5FC6"/>
    <w:rsid w:val="009F0A2B"/>
    <w:rsid w:val="009F20D2"/>
    <w:rsid w:val="009F7FB1"/>
    <w:rsid w:val="00A068DE"/>
    <w:rsid w:val="00A14980"/>
    <w:rsid w:val="00A224A1"/>
    <w:rsid w:val="00A2448B"/>
    <w:rsid w:val="00A24965"/>
    <w:rsid w:val="00A333AC"/>
    <w:rsid w:val="00A34337"/>
    <w:rsid w:val="00A34C64"/>
    <w:rsid w:val="00A42B14"/>
    <w:rsid w:val="00A545C0"/>
    <w:rsid w:val="00A700F3"/>
    <w:rsid w:val="00A709D1"/>
    <w:rsid w:val="00A737BB"/>
    <w:rsid w:val="00A901F8"/>
    <w:rsid w:val="00A938DA"/>
    <w:rsid w:val="00A96B55"/>
    <w:rsid w:val="00AA16FC"/>
    <w:rsid w:val="00AB0D28"/>
    <w:rsid w:val="00AB5ACA"/>
    <w:rsid w:val="00AC0A3B"/>
    <w:rsid w:val="00AC2A39"/>
    <w:rsid w:val="00AD39C6"/>
    <w:rsid w:val="00AE479D"/>
    <w:rsid w:val="00AE4DE5"/>
    <w:rsid w:val="00AF06A9"/>
    <w:rsid w:val="00AF19B4"/>
    <w:rsid w:val="00B04B0C"/>
    <w:rsid w:val="00B06E85"/>
    <w:rsid w:val="00B12CAE"/>
    <w:rsid w:val="00B1303C"/>
    <w:rsid w:val="00B23201"/>
    <w:rsid w:val="00B32866"/>
    <w:rsid w:val="00B33038"/>
    <w:rsid w:val="00B37E11"/>
    <w:rsid w:val="00B43457"/>
    <w:rsid w:val="00B56F74"/>
    <w:rsid w:val="00B65BBA"/>
    <w:rsid w:val="00B734BC"/>
    <w:rsid w:val="00B74D0D"/>
    <w:rsid w:val="00B76ED9"/>
    <w:rsid w:val="00B829A1"/>
    <w:rsid w:val="00B83309"/>
    <w:rsid w:val="00B84474"/>
    <w:rsid w:val="00B86E4A"/>
    <w:rsid w:val="00B901B7"/>
    <w:rsid w:val="00B968A1"/>
    <w:rsid w:val="00BA314F"/>
    <w:rsid w:val="00BA74F1"/>
    <w:rsid w:val="00BB667E"/>
    <w:rsid w:val="00BC2612"/>
    <w:rsid w:val="00BD056B"/>
    <w:rsid w:val="00BD1D7A"/>
    <w:rsid w:val="00BD2D7B"/>
    <w:rsid w:val="00BE19CD"/>
    <w:rsid w:val="00BE51DF"/>
    <w:rsid w:val="00BF1785"/>
    <w:rsid w:val="00BF1D1A"/>
    <w:rsid w:val="00BF2FA5"/>
    <w:rsid w:val="00BF6BDC"/>
    <w:rsid w:val="00C039A4"/>
    <w:rsid w:val="00C13B88"/>
    <w:rsid w:val="00C275FF"/>
    <w:rsid w:val="00C27781"/>
    <w:rsid w:val="00C31CB5"/>
    <w:rsid w:val="00C33535"/>
    <w:rsid w:val="00C409BD"/>
    <w:rsid w:val="00C40E8C"/>
    <w:rsid w:val="00C577F0"/>
    <w:rsid w:val="00C57DF3"/>
    <w:rsid w:val="00C62BEC"/>
    <w:rsid w:val="00C758D8"/>
    <w:rsid w:val="00C7758A"/>
    <w:rsid w:val="00C80085"/>
    <w:rsid w:val="00C81AAF"/>
    <w:rsid w:val="00C84A33"/>
    <w:rsid w:val="00C867D5"/>
    <w:rsid w:val="00C93AFD"/>
    <w:rsid w:val="00CA1D70"/>
    <w:rsid w:val="00CA52F9"/>
    <w:rsid w:val="00CB4616"/>
    <w:rsid w:val="00CB60E7"/>
    <w:rsid w:val="00CC3FB8"/>
    <w:rsid w:val="00CC53BF"/>
    <w:rsid w:val="00CD40BD"/>
    <w:rsid w:val="00CF0051"/>
    <w:rsid w:val="00D21111"/>
    <w:rsid w:val="00D267DF"/>
    <w:rsid w:val="00D309FE"/>
    <w:rsid w:val="00D32C57"/>
    <w:rsid w:val="00D342BF"/>
    <w:rsid w:val="00D3502E"/>
    <w:rsid w:val="00D35053"/>
    <w:rsid w:val="00D35CFD"/>
    <w:rsid w:val="00D3757C"/>
    <w:rsid w:val="00D411E8"/>
    <w:rsid w:val="00D42B19"/>
    <w:rsid w:val="00D467AC"/>
    <w:rsid w:val="00D5148A"/>
    <w:rsid w:val="00D613CD"/>
    <w:rsid w:val="00D6416F"/>
    <w:rsid w:val="00D649C8"/>
    <w:rsid w:val="00D652D7"/>
    <w:rsid w:val="00D66BEC"/>
    <w:rsid w:val="00D71BFF"/>
    <w:rsid w:val="00D81AEB"/>
    <w:rsid w:val="00D86926"/>
    <w:rsid w:val="00D87EC5"/>
    <w:rsid w:val="00D9579F"/>
    <w:rsid w:val="00DA370C"/>
    <w:rsid w:val="00DA74B0"/>
    <w:rsid w:val="00DB05C8"/>
    <w:rsid w:val="00DD03EF"/>
    <w:rsid w:val="00DE3158"/>
    <w:rsid w:val="00DF194B"/>
    <w:rsid w:val="00DF5C5D"/>
    <w:rsid w:val="00DF7F46"/>
    <w:rsid w:val="00E00E42"/>
    <w:rsid w:val="00E10E5C"/>
    <w:rsid w:val="00E11B71"/>
    <w:rsid w:val="00E11F29"/>
    <w:rsid w:val="00E24F12"/>
    <w:rsid w:val="00E3293D"/>
    <w:rsid w:val="00E35888"/>
    <w:rsid w:val="00E37FA8"/>
    <w:rsid w:val="00E4155A"/>
    <w:rsid w:val="00E46315"/>
    <w:rsid w:val="00E514DF"/>
    <w:rsid w:val="00E6196E"/>
    <w:rsid w:val="00E769DF"/>
    <w:rsid w:val="00E90687"/>
    <w:rsid w:val="00E93DA3"/>
    <w:rsid w:val="00E94F28"/>
    <w:rsid w:val="00E96238"/>
    <w:rsid w:val="00E96D20"/>
    <w:rsid w:val="00EA16F4"/>
    <w:rsid w:val="00EA1723"/>
    <w:rsid w:val="00EA5CEE"/>
    <w:rsid w:val="00EA76AC"/>
    <w:rsid w:val="00EB198C"/>
    <w:rsid w:val="00EB1DF1"/>
    <w:rsid w:val="00EB2645"/>
    <w:rsid w:val="00EB43F0"/>
    <w:rsid w:val="00EC1518"/>
    <w:rsid w:val="00EC3262"/>
    <w:rsid w:val="00EC3F76"/>
    <w:rsid w:val="00EC715D"/>
    <w:rsid w:val="00ED3039"/>
    <w:rsid w:val="00ED4D8F"/>
    <w:rsid w:val="00EE2FA8"/>
    <w:rsid w:val="00EE4755"/>
    <w:rsid w:val="00EE6B4E"/>
    <w:rsid w:val="00EF11F7"/>
    <w:rsid w:val="00EF46C6"/>
    <w:rsid w:val="00EF5081"/>
    <w:rsid w:val="00F01512"/>
    <w:rsid w:val="00F03B9A"/>
    <w:rsid w:val="00F07C0A"/>
    <w:rsid w:val="00F1751A"/>
    <w:rsid w:val="00F20A2E"/>
    <w:rsid w:val="00F2178F"/>
    <w:rsid w:val="00F25E03"/>
    <w:rsid w:val="00F34C7E"/>
    <w:rsid w:val="00F35744"/>
    <w:rsid w:val="00F40429"/>
    <w:rsid w:val="00F457EA"/>
    <w:rsid w:val="00F5468D"/>
    <w:rsid w:val="00F54C6D"/>
    <w:rsid w:val="00F73567"/>
    <w:rsid w:val="00F8678B"/>
    <w:rsid w:val="00F873CB"/>
    <w:rsid w:val="00F929EF"/>
    <w:rsid w:val="00F9403F"/>
    <w:rsid w:val="00F95411"/>
    <w:rsid w:val="00FA1084"/>
    <w:rsid w:val="00FA25A5"/>
    <w:rsid w:val="00FB4D27"/>
    <w:rsid w:val="00FC48C0"/>
    <w:rsid w:val="00FD7D46"/>
    <w:rsid w:val="00FD7FE4"/>
    <w:rsid w:val="00FE016C"/>
    <w:rsid w:val="00FE53E5"/>
    <w:rsid w:val="00FF2562"/>
    <w:rsid w:val="00FF63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CO" w:eastAsia="es-CO" w:bidi="es-CO"/>
    </w:rPr>
  </w:style>
  <w:style w:type="paragraph" w:styleId="Ttulo1">
    <w:name w:val="heading 1"/>
    <w:basedOn w:val="Normal"/>
    <w:uiPriority w:val="1"/>
    <w:qFormat/>
    <w:pPr>
      <w:ind w:left="2087"/>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010" w:hanging="708"/>
    </w:pPr>
  </w:style>
  <w:style w:type="paragraph" w:customStyle="1" w:styleId="TableParagraph">
    <w:name w:val="Table Paragraph"/>
    <w:basedOn w:val="Normal"/>
    <w:uiPriority w:val="1"/>
    <w:qFormat/>
    <w:pPr>
      <w:spacing w:before="39"/>
      <w:jc w:val="right"/>
    </w:pPr>
  </w:style>
  <w:style w:type="paragraph" w:styleId="Textodeglobo">
    <w:name w:val="Balloon Text"/>
    <w:basedOn w:val="Normal"/>
    <w:link w:val="TextodegloboCar"/>
    <w:uiPriority w:val="99"/>
    <w:semiHidden/>
    <w:unhideWhenUsed/>
    <w:rsid w:val="003A09B7"/>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9B7"/>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1E2CB2"/>
    <w:pPr>
      <w:tabs>
        <w:tab w:val="center" w:pos="4419"/>
        <w:tab w:val="right" w:pos="8838"/>
      </w:tabs>
    </w:pPr>
  </w:style>
  <w:style w:type="character" w:customStyle="1" w:styleId="EncabezadoCar">
    <w:name w:val="Encabezado Car"/>
    <w:basedOn w:val="Fuentedeprrafopredeter"/>
    <w:link w:val="Encabezado"/>
    <w:uiPriority w:val="99"/>
    <w:rsid w:val="001E2CB2"/>
    <w:rPr>
      <w:rFonts w:ascii="Arial" w:eastAsia="Arial" w:hAnsi="Arial" w:cs="Arial"/>
      <w:lang w:val="es-CO" w:eastAsia="es-CO" w:bidi="es-CO"/>
    </w:rPr>
  </w:style>
  <w:style w:type="paragraph" w:styleId="Piedepgina">
    <w:name w:val="footer"/>
    <w:basedOn w:val="Normal"/>
    <w:link w:val="PiedepginaCar"/>
    <w:uiPriority w:val="99"/>
    <w:unhideWhenUsed/>
    <w:rsid w:val="001E2CB2"/>
    <w:pPr>
      <w:tabs>
        <w:tab w:val="center" w:pos="4419"/>
        <w:tab w:val="right" w:pos="8838"/>
      </w:tabs>
    </w:pPr>
  </w:style>
  <w:style w:type="character" w:customStyle="1" w:styleId="PiedepginaCar">
    <w:name w:val="Pie de página Car"/>
    <w:basedOn w:val="Fuentedeprrafopredeter"/>
    <w:link w:val="Piedepgina"/>
    <w:uiPriority w:val="99"/>
    <w:rsid w:val="001E2CB2"/>
    <w:rPr>
      <w:rFonts w:ascii="Arial" w:eastAsia="Arial" w:hAnsi="Arial" w:cs="Arial"/>
      <w:lang w:val="es-CO" w:eastAsia="es-CO" w:bidi="es-CO"/>
    </w:rPr>
  </w:style>
  <w:style w:type="paragraph" w:styleId="Textocomentario">
    <w:name w:val="annotation text"/>
    <w:basedOn w:val="Normal"/>
    <w:link w:val="TextocomentarioCar"/>
    <w:rsid w:val="00261143"/>
    <w:pPr>
      <w:widowControl/>
      <w:autoSpaceDE/>
      <w:autoSpaceDN/>
    </w:pPr>
    <w:rPr>
      <w:rFonts w:ascii="Times New Roman" w:eastAsia="Times New Roman" w:hAnsi="Times New Roman" w:cs="Times New Roman"/>
      <w:sz w:val="20"/>
      <w:szCs w:val="20"/>
      <w:lang w:val="es-ES" w:eastAsia="es-ES" w:bidi="ar-SA"/>
    </w:rPr>
  </w:style>
  <w:style w:type="character" w:customStyle="1" w:styleId="TextocomentarioCar">
    <w:name w:val="Texto comentario Car"/>
    <w:basedOn w:val="Fuentedeprrafopredeter"/>
    <w:link w:val="Textocomentario"/>
    <w:rsid w:val="00261143"/>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66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14CF"/>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styleId="Sombreadomedio1-nfasis2">
    <w:name w:val="Medium Shading 1 Accent 2"/>
    <w:basedOn w:val="Tablanormal"/>
    <w:uiPriority w:val="63"/>
    <w:rsid w:val="00505A13"/>
    <w:pPr>
      <w:widowControl/>
      <w:autoSpaceDE/>
      <w:autoSpaceDN/>
    </w:pPr>
    <w:rPr>
      <w:lang w:val="es-CO"/>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TextoindependienteCar">
    <w:name w:val="Texto independiente Car"/>
    <w:basedOn w:val="Fuentedeprrafopredeter"/>
    <w:link w:val="Textoindependiente"/>
    <w:uiPriority w:val="1"/>
    <w:rsid w:val="00751EBF"/>
    <w:rPr>
      <w:rFonts w:ascii="Arial" w:eastAsia="Arial" w:hAnsi="Arial" w:cs="Arial"/>
      <w:lang w:val="es-CO" w:eastAsia="es-CO" w:bidi="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CO" w:eastAsia="es-CO" w:bidi="es-CO"/>
    </w:rPr>
  </w:style>
  <w:style w:type="paragraph" w:styleId="Ttulo1">
    <w:name w:val="heading 1"/>
    <w:basedOn w:val="Normal"/>
    <w:uiPriority w:val="1"/>
    <w:qFormat/>
    <w:pPr>
      <w:ind w:left="2087"/>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1010" w:hanging="708"/>
    </w:pPr>
  </w:style>
  <w:style w:type="paragraph" w:customStyle="1" w:styleId="TableParagraph">
    <w:name w:val="Table Paragraph"/>
    <w:basedOn w:val="Normal"/>
    <w:uiPriority w:val="1"/>
    <w:qFormat/>
    <w:pPr>
      <w:spacing w:before="39"/>
      <w:jc w:val="right"/>
    </w:pPr>
  </w:style>
  <w:style w:type="paragraph" w:styleId="Textodeglobo">
    <w:name w:val="Balloon Text"/>
    <w:basedOn w:val="Normal"/>
    <w:link w:val="TextodegloboCar"/>
    <w:uiPriority w:val="99"/>
    <w:semiHidden/>
    <w:unhideWhenUsed/>
    <w:rsid w:val="003A09B7"/>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9B7"/>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1E2CB2"/>
    <w:pPr>
      <w:tabs>
        <w:tab w:val="center" w:pos="4419"/>
        <w:tab w:val="right" w:pos="8838"/>
      </w:tabs>
    </w:pPr>
  </w:style>
  <w:style w:type="character" w:customStyle="1" w:styleId="EncabezadoCar">
    <w:name w:val="Encabezado Car"/>
    <w:basedOn w:val="Fuentedeprrafopredeter"/>
    <w:link w:val="Encabezado"/>
    <w:uiPriority w:val="99"/>
    <w:rsid w:val="001E2CB2"/>
    <w:rPr>
      <w:rFonts w:ascii="Arial" w:eastAsia="Arial" w:hAnsi="Arial" w:cs="Arial"/>
      <w:lang w:val="es-CO" w:eastAsia="es-CO" w:bidi="es-CO"/>
    </w:rPr>
  </w:style>
  <w:style w:type="paragraph" w:styleId="Piedepgina">
    <w:name w:val="footer"/>
    <w:basedOn w:val="Normal"/>
    <w:link w:val="PiedepginaCar"/>
    <w:uiPriority w:val="99"/>
    <w:unhideWhenUsed/>
    <w:rsid w:val="001E2CB2"/>
    <w:pPr>
      <w:tabs>
        <w:tab w:val="center" w:pos="4419"/>
        <w:tab w:val="right" w:pos="8838"/>
      </w:tabs>
    </w:pPr>
  </w:style>
  <w:style w:type="character" w:customStyle="1" w:styleId="PiedepginaCar">
    <w:name w:val="Pie de página Car"/>
    <w:basedOn w:val="Fuentedeprrafopredeter"/>
    <w:link w:val="Piedepgina"/>
    <w:uiPriority w:val="99"/>
    <w:rsid w:val="001E2CB2"/>
    <w:rPr>
      <w:rFonts w:ascii="Arial" w:eastAsia="Arial" w:hAnsi="Arial" w:cs="Arial"/>
      <w:lang w:val="es-CO" w:eastAsia="es-CO" w:bidi="es-CO"/>
    </w:rPr>
  </w:style>
  <w:style w:type="paragraph" w:styleId="Textocomentario">
    <w:name w:val="annotation text"/>
    <w:basedOn w:val="Normal"/>
    <w:link w:val="TextocomentarioCar"/>
    <w:rsid w:val="00261143"/>
    <w:pPr>
      <w:widowControl/>
      <w:autoSpaceDE/>
      <w:autoSpaceDN/>
    </w:pPr>
    <w:rPr>
      <w:rFonts w:ascii="Times New Roman" w:eastAsia="Times New Roman" w:hAnsi="Times New Roman" w:cs="Times New Roman"/>
      <w:sz w:val="20"/>
      <w:szCs w:val="20"/>
      <w:lang w:val="es-ES" w:eastAsia="es-ES" w:bidi="ar-SA"/>
    </w:rPr>
  </w:style>
  <w:style w:type="character" w:customStyle="1" w:styleId="TextocomentarioCar">
    <w:name w:val="Texto comentario Car"/>
    <w:basedOn w:val="Fuentedeprrafopredeter"/>
    <w:link w:val="Textocomentario"/>
    <w:rsid w:val="00261143"/>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D66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14CF"/>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styleId="Sombreadomedio1-nfasis2">
    <w:name w:val="Medium Shading 1 Accent 2"/>
    <w:basedOn w:val="Tablanormal"/>
    <w:uiPriority w:val="63"/>
    <w:rsid w:val="00505A13"/>
    <w:pPr>
      <w:widowControl/>
      <w:autoSpaceDE/>
      <w:autoSpaceDN/>
    </w:pPr>
    <w:rPr>
      <w:lang w:val="es-CO"/>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TextoindependienteCar">
    <w:name w:val="Texto independiente Car"/>
    <w:basedOn w:val="Fuentedeprrafopredeter"/>
    <w:link w:val="Textoindependiente"/>
    <w:uiPriority w:val="1"/>
    <w:rsid w:val="00751EBF"/>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420">
      <w:bodyDiv w:val="1"/>
      <w:marLeft w:val="0"/>
      <w:marRight w:val="0"/>
      <w:marTop w:val="0"/>
      <w:marBottom w:val="0"/>
      <w:divBdr>
        <w:top w:val="none" w:sz="0" w:space="0" w:color="auto"/>
        <w:left w:val="none" w:sz="0" w:space="0" w:color="auto"/>
        <w:bottom w:val="none" w:sz="0" w:space="0" w:color="auto"/>
        <w:right w:val="none" w:sz="0" w:space="0" w:color="auto"/>
      </w:divBdr>
    </w:div>
    <w:div w:id="239677010">
      <w:bodyDiv w:val="1"/>
      <w:marLeft w:val="0"/>
      <w:marRight w:val="0"/>
      <w:marTop w:val="0"/>
      <w:marBottom w:val="0"/>
      <w:divBdr>
        <w:top w:val="none" w:sz="0" w:space="0" w:color="auto"/>
        <w:left w:val="none" w:sz="0" w:space="0" w:color="auto"/>
        <w:bottom w:val="none" w:sz="0" w:space="0" w:color="auto"/>
        <w:right w:val="none" w:sz="0" w:space="0" w:color="auto"/>
      </w:divBdr>
    </w:div>
    <w:div w:id="290208876">
      <w:bodyDiv w:val="1"/>
      <w:marLeft w:val="0"/>
      <w:marRight w:val="0"/>
      <w:marTop w:val="0"/>
      <w:marBottom w:val="0"/>
      <w:divBdr>
        <w:top w:val="none" w:sz="0" w:space="0" w:color="auto"/>
        <w:left w:val="none" w:sz="0" w:space="0" w:color="auto"/>
        <w:bottom w:val="none" w:sz="0" w:space="0" w:color="auto"/>
        <w:right w:val="none" w:sz="0" w:space="0" w:color="auto"/>
      </w:divBdr>
    </w:div>
    <w:div w:id="490215673">
      <w:bodyDiv w:val="1"/>
      <w:marLeft w:val="0"/>
      <w:marRight w:val="0"/>
      <w:marTop w:val="0"/>
      <w:marBottom w:val="0"/>
      <w:divBdr>
        <w:top w:val="none" w:sz="0" w:space="0" w:color="auto"/>
        <w:left w:val="none" w:sz="0" w:space="0" w:color="auto"/>
        <w:bottom w:val="none" w:sz="0" w:space="0" w:color="auto"/>
        <w:right w:val="none" w:sz="0" w:space="0" w:color="auto"/>
      </w:divBdr>
    </w:div>
    <w:div w:id="530802873">
      <w:bodyDiv w:val="1"/>
      <w:marLeft w:val="0"/>
      <w:marRight w:val="0"/>
      <w:marTop w:val="0"/>
      <w:marBottom w:val="0"/>
      <w:divBdr>
        <w:top w:val="none" w:sz="0" w:space="0" w:color="auto"/>
        <w:left w:val="none" w:sz="0" w:space="0" w:color="auto"/>
        <w:bottom w:val="none" w:sz="0" w:space="0" w:color="auto"/>
        <w:right w:val="none" w:sz="0" w:space="0" w:color="auto"/>
      </w:divBdr>
    </w:div>
    <w:div w:id="556285510">
      <w:bodyDiv w:val="1"/>
      <w:marLeft w:val="0"/>
      <w:marRight w:val="0"/>
      <w:marTop w:val="0"/>
      <w:marBottom w:val="0"/>
      <w:divBdr>
        <w:top w:val="none" w:sz="0" w:space="0" w:color="auto"/>
        <w:left w:val="none" w:sz="0" w:space="0" w:color="auto"/>
        <w:bottom w:val="none" w:sz="0" w:space="0" w:color="auto"/>
        <w:right w:val="none" w:sz="0" w:space="0" w:color="auto"/>
      </w:divBdr>
    </w:div>
    <w:div w:id="564531213">
      <w:bodyDiv w:val="1"/>
      <w:marLeft w:val="0"/>
      <w:marRight w:val="0"/>
      <w:marTop w:val="0"/>
      <w:marBottom w:val="0"/>
      <w:divBdr>
        <w:top w:val="none" w:sz="0" w:space="0" w:color="auto"/>
        <w:left w:val="none" w:sz="0" w:space="0" w:color="auto"/>
        <w:bottom w:val="none" w:sz="0" w:space="0" w:color="auto"/>
        <w:right w:val="none" w:sz="0" w:space="0" w:color="auto"/>
      </w:divBdr>
    </w:div>
    <w:div w:id="585307989">
      <w:bodyDiv w:val="1"/>
      <w:marLeft w:val="0"/>
      <w:marRight w:val="0"/>
      <w:marTop w:val="0"/>
      <w:marBottom w:val="0"/>
      <w:divBdr>
        <w:top w:val="none" w:sz="0" w:space="0" w:color="auto"/>
        <w:left w:val="none" w:sz="0" w:space="0" w:color="auto"/>
        <w:bottom w:val="none" w:sz="0" w:space="0" w:color="auto"/>
        <w:right w:val="none" w:sz="0" w:space="0" w:color="auto"/>
      </w:divBdr>
    </w:div>
    <w:div w:id="618993270">
      <w:bodyDiv w:val="1"/>
      <w:marLeft w:val="0"/>
      <w:marRight w:val="0"/>
      <w:marTop w:val="0"/>
      <w:marBottom w:val="0"/>
      <w:divBdr>
        <w:top w:val="none" w:sz="0" w:space="0" w:color="auto"/>
        <w:left w:val="none" w:sz="0" w:space="0" w:color="auto"/>
        <w:bottom w:val="none" w:sz="0" w:space="0" w:color="auto"/>
        <w:right w:val="none" w:sz="0" w:space="0" w:color="auto"/>
      </w:divBdr>
    </w:div>
    <w:div w:id="620965678">
      <w:bodyDiv w:val="1"/>
      <w:marLeft w:val="0"/>
      <w:marRight w:val="0"/>
      <w:marTop w:val="0"/>
      <w:marBottom w:val="0"/>
      <w:divBdr>
        <w:top w:val="none" w:sz="0" w:space="0" w:color="auto"/>
        <w:left w:val="none" w:sz="0" w:space="0" w:color="auto"/>
        <w:bottom w:val="none" w:sz="0" w:space="0" w:color="auto"/>
        <w:right w:val="none" w:sz="0" w:space="0" w:color="auto"/>
      </w:divBdr>
    </w:div>
    <w:div w:id="651761680">
      <w:bodyDiv w:val="1"/>
      <w:marLeft w:val="0"/>
      <w:marRight w:val="0"/>
      <w:marTop w:val="0"/>
      <w:marBottom w:val="0"/>
      <w:divBdr>
        <w:top w:val="none" w:sz="0" w:space="0" w:color="auto"/>
        <w:left w:val="none" w:sz="0" w:space="0" w:color="auto"/>
        <w:bottom w:val="none" w:sz="0" w:space="0" w:color="auto"/>
        <w:right w:val="none" w:sz="0" w:space="0" w:color="auto"/>
      </w:divBdr>
    </w:div>
    <w:div w:id="688877753">
      <w:bodyDiv w:val="1"/>
      <w:marLeft w:val="0"/>
      <w:marRight w:val="0"/>
      <w:marTop w:val="0"/>
      <w:marBottom w:val="0"/>
      <w:divBdr>
        <w:top w:val="none" w:sz="0" w:space="0" w:color="auto"/>
        <w:left w:val="none" w:sz="0" w:space="0" w:color="auto"/>
        <w:bottom w:val="none" w:sz="0" w:space="0" w:color="auto"/>
        <w:right w:val="none" w:sz="0" w:space="0" w:color="auto"/>
      </w:divBdr>
    </w:div>
    <w:div w:id="690647381">
      <w:bodyDiv w:val="1"/>
      <w:marLeft w:val="0"/>
      <w:marRight w:val="0"/>
      <w:marTop w:val="0"/>
      <w:marBottom w:val="0"/>
      <w:divBdr>
        <w:top w:val="none" w:sz="0" w:space="0" w:color="auto"/>
        <w:left w:val="none" w:sz="0" w:space="0" w:color="auto"/>
        <w:bottom w:val="none" w:sz="0" w:space="0" w:color="auto"/>
        <w:right w:val="none" w:sz="0" w:space="0" w:color="auto"/>
      </w:divBdr>
    </w:div>
    <w:div w:id="733357690">
      <w:bodyDiv w:val="1"/>
      <w:marLeft w:val="0"/>
      <w:marRight w:val="0"/>
      <w:marTop w:val="0"/>
      <w:marBottom w:val="0"/>
      <w:divBdr>
        <w:top w:val="none" w:sz="0" w:space="0" w:color="auto"/>
        <w:left w:val="none" w:sz="0" w:space="0" w:color="auto"/>
        <w:bottom w:val="none" w:sz="0" w:space="0" w:color="auto"/>
        <w:right w:val="none" w:sz="0" w:space="0" w:color="auto"/>
      </w:divBdr>
    </w:div>
    <w:div w:id="759062602">
      <w:bodyDiv w:val="1"/>
      <w:marLeft w:val="0"/>
      <w:marRight w:val="0"/>
      <w:marTop w:val="0"/>
      <w:marBottom w:val="0"/>
      <w:divBdr>
        <w:top w:val="none" w:sz="0" w:space="0" w:color="auto"/>
        <w:left w:val="none" w:sz="0" w:space="0" w:color="auto"/>
        <w:bottom w:val="none" w:sz="0" w:space="0" w:color="auto"/>
        <w:right w:val="none" w:sz="0" w:space="0" w:color="auto"/>
      </w:divBdr>
    </w:div>
    <w:div w:id="765267874">
      <w:bodyDiv w:val="1"/>
      <w:marLeft w:val="0"/>
      <w:marRight w:val="0"/>
      <w:marTop w:val="0"/>
      <w:marBottom w:val="0"/>
      <w:divBdr>
        <w:top w:val="none" w:sz="0" w:space="0" w:color="auto"/>
        <w:left w:val="none" w:sz="0" w:space="0" w:color="auto"/>
        <w:bottom w:val="none" w:sz="0" w:space="0" w:color="auto"/>
        <w:right w:val="none" w:sz="0" w:space="0" w:color="auto"/>
      </w:divBdr>
    </w:div>
    <w:div w:id="766775352">
      <w:bodyDiv w:val="1"/>
      <w:marLeft w:val="0"/>
      <w:marRight w:val="0"/>
      <w:marTop w:val="0"/>
      <w:marBottom w:val="0"/>
      <w:divBdr>
        <w:top w:val="none" w:sz="0" w:space="0" w:color="auto"/>
        <w:left w:val="none" w:sz="0" w:space="0" w:color="auto"/>
        <w:bottom w:val="none" w:sz="0" w:space="0" w:color="auto"/>
        <w:right w:val="none" w:sz="0" w:space="0" w:color="auto"/>
      </w:divBdr>
    </w:div>
    <w:div w:id="843931865">
      <w:bodyDiv w:val="1"/>
      <w:marLeft w:val="0"/>
      <w:marRight w:val="0"/>
      <w:marTop w:val="0"/>
      <w:marBottom w:val="0"/>
      <w:divBdr>
        <w:top w:val="none" w:sz="0" w:space="0" w:color="auto"/>
        <w:left w:val="none" w:sz="0" w:space="0" w:color="auto"/>
        <w:bottom w:val="none" w:sz="0" w:space="0" w:color="auto"/>
        <w:right w:val="none" w:sz="0" w:space="0" w:color="auto"/>
      </w:divBdr>
    </w:div>
    <w:div w:id="896475136">
      <w:bodyDiv w:val="1"/>
      <w:marLeft w:val="0"/>
      <w:marRight w:val="0"/>
      <w:marTop w:val="0"/>
      <w:marBottom w:val="0"/>
      <w:divBdr>
        <w:top w:val="none" w:sz="0" w:space="0" w:color="auto"/>
        <w:left w:val="none" w:sz="0" w:space="0" w:color="auto"/>
        <w:bottom w:val="none" w:sz="0" w:space="0" w:color="auto"/>
        <w:right w:val="none" w:sz="0" w:space="0" w:color="auto"/>
      </w:divBdr>
    </w:div>
    <w:div w:id="1040520697">
      <w:bodyDiv w:val="1"/>
      <w:marLeft w:val="0"/>
      <w:marRight w:val="0"/>
      <w:marTop w:val="0"/>
      <w:marBottom w:val="0"/>
      <w:divBdr>
        <w:top w:val="none" w:sz="0" w:space="0" w:color="auto"/>
        <w:left w:val="none" w:sz="0" w:space="0" w:color="auto"/>
        <w:bottom w:val="none" w:sz="0" w:space="0" w:color="auto"/>
        <w:right w:val="none" w:sz="0" w:space="0" w:color="auto"/>
      </w:divBdr>
    </w:div>
    <w:div w:id="1060057422">
      <w:bodyDiv w:val="1"/>
      <w:marLeft w:val="0"/>
      <w:marRight w:val="0"/>
      <w:marTop w:val="0"/>
      <w:marBottom w:val="0"/>
      <w:divBdr>
        <w:top w:val="none" w:sz="0" w:space="0" w:color="auto"/>
        <w:left w:val="none" w:sz="0" w:space="0" w:color="auto"/>
        <w:bottom w:val="none" w:sz="0" w:space="0" w:color="auto"/>
        <w:right w:val="none" w:sz="0" w:space="0" w:color="auto"/>
      </w:divBdr>
    </w:div>
    <w:div w:id="1073238933">
      <w:bodyDiv w:val="1"/>
      <w:marLeft w:val="0"/>
      <w:marRight w:val="0"/>
      <w:marTop w:val="0"/>
      <w:marBottom w:val="0"/>
      <w:divBdr>
        <w:top w:val="none" w:sz="0" w:space="0" w:color="auto"/>
        <w:left w:val="none" w:sz="0" w:space="0" w:color="auto"/>
        <w:bottom w:val="none" w:sz="0" w:space="0" w:color="auto"/>
        <w:right w:val="none" w:sz="0" w:space="0" w:color="auto"/>
      </w:divBdr>
    </w:div>
    <w:div w:id="1113866337">
      <w:bodyDiv w:val="1"/>
      <w:marLeft w:val="0"/>
      <w:marRight w:val="0"/>
      <w:marTop w:val="0"/>
      <w:marBottom w:val="0"/>
      <w:divBdr>
        <w:top w:val="none" w:sz="0" w:space="0" w:color="auto"/>
        <w:left w:val="none" w:sz="0" w:space="0" w:color="auto"/>
        <w:bottom w:val="none" w:sz="0" w:space="0" w:color="auto"/>
        <w:right w:val="none" w:sz="0" w:space="0" w:color="auto"/>
      </w:divBdr>
    </w:div>
    <w:div w:id="1139028989">
      <w:bodyDiv w:val="1"/>
      <w:marLeft w:val="0"/>
      <w:marRight w:val="0"/>
      <w:marTop w:val="0"/>
      <w:marBottom w:val="0"/>
      <w:divBdr>
        <w:top w:val="none" w:sz="0" w:space="0" w:color="auto"/>
        <w:left w:val="none" w:sz="0" w:space="0" w:color="auto"/>
        <w:bottom w:val="none" w:sz="0" w:space="0" w:color="auto"/>
        <w:right w:val="none" w:sz="0" w:space="0" w:color="auto"/>
      </w:divBdr>
    </w:div>
    <w:div w:id="1142696715">
      <w:bodyDiv w:val="1"/>
      <w:marLeft w:val="0"/>
      <w:marRight w:val="0"/>
      <w:marTop w:val="0"/>
      <w:marBottom w:val="0"/>
      <w:divBdr>
        <w:top w:val="none" w:sz="0" w:space="0" w:color="auto"/>
        <w:left w:val="none" w:sz="0" w:space="0" w:color="auto"/>
        <w:bottom w:val="none" w:sz="0" w:space="0" w:color="auto"/>
        <w:right w:val="none" w:sz="0" w:space="0" w:color="auto"/>
      </w:divBdr>
    </w:div>
    <w:div w:id="1176268498">
      <w:bodyDiv w:val="1"/>
      <w:marLeft w:val="0"/>
      <w:marRight w:val="0"/>
      <w:marTop w:val="0"/>
      <w:marBottom w:val="0"/>
      <w:divBdr>
        <w:top w:val="none" w:sz="0" w:space="0" w:color="auto"/>
        <w:left w:val="none" w:sz="0" w:space="0" w:color="auto"/>
        <w:bottom w:val="none" w:sz="0" w:space="0" w:color="auto"/>
        <w:right w:val="none" w:sz="0" w:space="0" w:color="auto"/>
      </w:divBdr>
    </w:div>
    <w:div w:id="1197547108">
      <w:bodyDiv w:val="1"/>
      <w:marLeft w:val="0"/>
      <w:marRight w:val="0"/>
      <w:marTop w:val="0"/>
      <w:marBottom w:val="0"/>
      <w:divBdr>
        <w:top w:val="none" w:sz="0" w:space="0" w:color="auto"/>
        <w:left w:val="none" w:sz="0" w:space="0" w:color="auto"/>
        <w:bottom w:val="none" w:sz="0" w:space="0" w:color="auto"/>
        <w:right w:val="none" w:sz="0" w:space="0" w:color="auto"/>
      </w:divBdr>
    </w:div>
    <w:div w:id="1235627526">
      <w:bodyDiv w:val="1"/>
      <w:marLeft w:val="0"/>
      <w:marRight w:val="0"/>
      <w:marTop w:val="0"/>
      <w:marBottom w:val="0"/>
      <w:divBdr>
        <w:top w:val="none" w:sz="0" w:space="0" w:color="auto"/>
        <w:left w:val="none" w:sz="0" w:space="0" w:color="auto"/>
        <w:bottom w:val="none" w:sz="0" w:space="0" w:color="auto"/>
        <w:right w:val="none" w:sz="0" w:space="0" w:color="auto"/>
      </w:divBdr>
    </w:div>
    <w:div w:id="1306352074">
      <w:bodyDiv w:val="1"/>
      <w:marLeft w:val="0"/>
      <w:marRight w:val="0"/>
      <w:marTop w:val="0"/>
      <w:marBottom w:val="0"/>
      <w:divBdr>
        <w:top w:val="none" w:sz="0" w:space="0" w:color="auto"/>
        <w:left w:val="none" w:sz="0" w:space="0" w:color="auto"/>
        <w:bottom w:val="none" w:sz="0" w:space="0" w:color="auto"/>
        <w:right w:val="none" w:sz="0" w:space="0" w:color="auto"/>
      </w:divBdr>
    </w:div>
    <w:div w:id="1369525038">
      <w:bodyDiv w:val="1"/>
      <w:marLeft w:val="0"/>
      <w:marRight w:val="0"/>
      <w:marTop w:val="0"/>
      <w:marBottom w:val="0"/>
      <w:divBdr>
        <w:top w:val="none" w:sz="0" w:space="0" w:color="auto"/>
        <w:left w:val="none" w:sz="0" w:space="0" w:color="auto"/>
        <w:bottom w:val="none" w:sz="0" w:space="0" w:color="auto"/>
        <w:right w:val="none" w:sz="0" w:space="0" w:color="auto"/>
      </w:divBdr>
    </w:div>
    <w:div w:id="1383212638">
      <w:bodyDiv w:val="1"/>
      <w:marLeft w:val="0"/>
      <w:marRight w:val="0"/>
      <w:marTop w:val="0"/>
      <w:marBottom w:val="0"/>
      <w:divBdr>
        <w:top w:val="none" w:sz="0" w:space="0" w:color="auto"/>
        <w:left w:val="none" w:sz="0" w:space="0" w:color="auto"/>
        <w:bottom w:val="none" w:sz="0" w:space="0" w:color="auto"/>
        <w:right w:val="none" w:sz="0" w:space="0" w:color="auto"/>
      </w:divBdr>
    </w:div>
    <w:div w:id="1387143275">
      <w:bodyDiv w:val="1"/>
      <w:marLeft w:val="0"/>
      <w:marRight w:val="0"/>
      <w:marTop w:val="0"/>
      <w:marBottom w:val="0"/>
      <w:divBdr>
        <w:top w:val="none" w:sz="0" w:space="0" w:color="auto"/>
        <w:left w:val="none" w:sz="0" w:space="0" w:color="auto"/>
        <w:bottom w:val="none" w:sz="0" w:space="0" w:color="auto"/>
        <w:right w:val="none" w:sz="0" w:space="0" w:color="auto"/>
      </w:divBdr>
    </w:div>
    <w:div w:id="1451586697">
      <w:bodyDiv w:val="1"/>
      <w:marLeft w:val="0"/>
      <w:marRight w:val="0"/>
      <w:marTop w:val="0"/>
      <w:marBottom w:val="0"/>
      <w:divBdr>
        <w:top w:val="none" w:sz="0" w:space="0" w:color="auto"/>
        <w:left w:val="none" w:sz="0" w:space="0" w:color="auto"/>
        <w:bottom w:val="none" w:sz="0" w:space="0" w:color="auto"/>
        <w:right w:val="none" w:sz="0" w:space="0" w:color="auto"/>
      </w:divBdr>
    </w:div>
    <w:div w:id="1473255173">
      <w:bodyDiv w:val="1"/>
      <w:marLeft w:val="0"/>
      <w:marRight w:val="0"/>
      <w:marTop w:val="0"/>
      <w:marBottom w:val="0"/>
      <w:divBdr>
        <w:top w:val="none" w:sz="0" w:space="0" w:color="auto"/>
        <w:left w:val="none" w:sz="0" w:space="0" w:color="auto"/>
        <w:bottom w:val="none" w:sz="0" w:space="0" w:color="auto"/>
        <w:right w:val="none" w:sz="0" w:space="0" w:color="auto"/>
      </w:divBdr>
    </w:div>
    <w:div w:id="1564679385">
      <w:bodyDiv w:val="1"/>
      <w:marLeft w:val="0"/>
      <w:marRight w:val="0"/>
      <w:marTop w:val="0"/>
      <w:marBottom w:val="0"/>
      <w:divBdr>
        <w:top w:val="none" w:sz="0" w:space="0" w:color="auto"/>
        <w:left w:val="none" w:sz="0" w:space="0" w:color="auto"/>
        <w:bottom w:val="none" w:sz="0" w:space="0" w:color="auto"/>
        <w:right w:val="none" w:sz="0" w:space="0" w:color="auto"/>
      </w:divBdr>
    </w:div>
    <w:div w:id="1583104016">
      <w:bodyDiv w:val="1"/>
      <w:marLeft w:val="0"/>
      <w:marRight w:val="0"/>
      <w:marTop w:val="0"/>
      <w:marBottom w:val="0"/>
      <w:divBdr>
        <w:top w:val="none" w:sz="0" w:space="0" w:color="auto"/>
        <w:left w:val="none" w:sz="0" w:space="0" w:color="auto"/>
        <w:bottom w:val="none" w:sz="0" w:space="0" w:color="auto"/>
        <w:right w:val="none" w:sz="0" w:space="0" w:color="auto"/>
      </w:divBdr>
    </w:div>
    <w:div w:id="1629358530">
      <w:bodyDiv w:val="1"/>
      <w:marLeft w:val="0"/>
      <w:marRight w:val="0"/>
      <w:marTop w:val="0"/>
      <w:marBottom w:val="0"/>
      <w:divBdr>
        <w:top w:val="none" w:sz="0" w:space="0" w:color="auto"/>
        <w:left w:val="none" w:sz="0" w:space="0" w:color="auto"/>
        <w:bottom w:val="none" w:sz="0" w:space="0" w:color="auto"/>
        <w:right w:val="none" w:sz="0" w:space="0" w:color="auto"/>
      </w:divBdr>
    </w:div>
    <w:div w:id="1636332605">
      <w:bodyDiv w:val="1"/>
      <w:marLeft w:val="0"/>
      <w:marRight w:val="0"/>
      <w:marTop w:val="0"/>
      <w:marBottom w:val="0"/>
      <w:divBdr>
        <w:top w:val="none" w:sz="0" w:space="0" w:color="auto"/>
        <w:left w:val="none" w:sz="0" w:space="0" w:color="auto"/>
        <w:bottom w:val="none" w:sz="0" w:space="0" w:color="auto"/>
        <w:right w:val="none" w:sz="0" w:space="0" w:color="auto"/>
      </w:divBdr>
    </w:div>
    <w:div w:id="1806654922">
      <w:bodyDiv w:val="1"/>
      <w:marLeft w:val="0"/>
      <w:marRight w:val="0"/>
      <w:marTop w:val="0"/>
      <w:marBottom w:val="0"/>
      <w:divBdr>
        <w:top w:val="none" w:sz="0" w:space="0" w:color="auto"/>
        <w:left w:val="none" w:sz="0" w:space="0" w:color="auto"/>
        <w:bottom w:val="none" w:sz="0" w:space="0" w:color="auto"/>
        <w:right w:val="none" w:sz="0" w:space="0" w:color="auto"/>
      </w:divBdr>
    </w:div>
    <w:div w:id="1828667904">
      <w:bodyDiv w:val="1"/>
      <w:marLeft w:val="0"/>
      <w:marRight w:val="0"/>
      <w:marTop w:val="0"/>
      <w:marBottom w:val="0"/>
      <w:divBdr>
        <w:top w:val="none" w:sz="0" w:space="0" w:color="auto"/>
        <w:left w:val="none" w:sz="0" w:space="0" w:color="auto"/>
        <w:bottom w:val="none" w:sz="0" w:space="0" w:color="auto"/>
        <w:right w:val="none" w:sz="0" w:space="0" w:color="auto"/>
      </w:divBdr>
    </w:div>
    <w:div w:id="1879660301">
      <w:bodyDiv w:val="1"/>
      <w:marLeft w:val="0"/>
      <w:marRight w:val="0"/>
      <w:marTop w:val="0"/>
      <w:marBottom w:val="0"/>
      <w:divBdr>
        <w:top w:val="none" w:sz="0" w:space="0" w:color="auto"/>
        <w:left w:val="none" w:sz="0" w:space="0" w:color="auto"/>
        <w:bottom w:val="none" w:sz="0" w:space="0" w:color="auto"/>
        <w:right w:val="none" w:sz="0" w:space="0" w:color="auto"/>
      </w:divBdr>
    </w:div>
    <w:div w:id="1891921064">
      <w:bodyDiv w:val="1"/>
      <w:marLeft w:val="0"/>
      <w:marRight w:val="0"/>
      <w:marTop w:val="0"/>
      <w:marBottom w:val="0"/>
      <w:divBdr>
        <w:top w:val="none" w:sz="0" w:space="0" w:color="auto"/>
        <w:left w:val="none" w:sz="0" w:space="0" w:color="auto"/>
        <w:bottom w:val="none" w:sz="0" w:space="0" w:color="auto"/>
        <w:right w:val="none" w:sz="0" w:space="0" w:color="auto"/>
      </w:divBdr>
    </w:div>
    <w:div w:id="1919168161">
      <w:bodyDiv w:val="1"/>
      <w:marLeft w:val="0"/>
      <w:marRight w:val="0"/>
      <w:marTop w:val="0"/>
      <w:marBottom w:val="0"/>
      <w:divBdr>
        <w:top w:val="none" w:sz="0" w:space="0" w:color="auto"/>
        <w:left w:val="none" w:sz="0" w:space="0" w:color="auto"/>
        <w:bottom w:val="none" w:sz="0" w:space="0" w:color="auto"/>
        <w:right w:val="none" w:sz="0" w:space="0" w:color="auto"/>
      </w:divBdr>
    </w:div>
    <w:div w:id="1923100395">
      <w:bodyDiv w:val="1"/>
      <w:marLeft w:val="0"/>
      <w:marRight w:val="0"/>
      <w:marTop w:val="0"/>
      <w:marBottom w:val="0"/>
      <w:divBdr>
        <w:top w:val="none" w:sz="0" w:space="0" w:color="auto"/>
        <w:left w:val="none" w:sz="0" w:space="0" w:color="auto"/>
        <w:bottom w:val="none" w:sz="0" w:space="0" w:color="auto"/>
        <w:right w:val="none" w:sz="0" w:space="0" w:color="auto"/>
      </w:divBdr>
    </w:div>
    <w:div w:id="206544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inistrativo@loteriasantander.gov.co" TargetMode="Externa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3" Type="http://schemas.openxmlformats.org/officeDocument/2006/relationships/hyperlink" Target="http://www.loteriasantander.gov.co/" TargetMode="External"/><Relationship Id="rId2" Type="http://schemas.openxmlformats.org/officeDocument/2006/relationships/hyperlink" Target="mailto:sistemas@loteriasantander.com" TargetMode="External"/><Relationship Id="rId1" Type="http://schemas.openxmlformats.org/officeDocument/2006/relationships/hyperlink" Target="http://www.loteriasantander.gov.co/" TargetMode="External"/><Relationship Id="rId4" Type="http://schemas.openxmlformats.org/officeDocument/2006/relationships/hyperlink" Target="mailto:sistemas@loteriasanta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ontrol%20Interno\Desktop\SANDRA%20MEJIA\2019\INFORME%20AUSTERIDAD%20EN%20EL%20GASTO%202019\AUSTERIDAD%20II%20TRIMESTRE%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ntrol%20Interno\Desktop\SANDRA%20MEJIA\2019\INFORME%20AUSTERIDAD%20EN%20EL%20GASTO%202019\AUSTERIDAD%20II%20TRIMESTRE%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ontrol%20Interno\Desktop\SANDRA%20MEJIA\2019\INFORME%20AUSTERIDAD%20EN%20EL%20GASTO%202019\AUSTERIDAD%20II%20TRIMESTRE%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ontrol%20Interno\Desktop\SANDRA%20MEJIA\2019\INFORME%20AUSTERIDAD%20EN%20EL%20GASTO%202019\AUSTERIDAD%20II%20TRIMESTRE%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ontrol%20Interno\Desktop\SANDRA%20MEJIA\2019\INFORME%20AUSTERIDAD%20EN%20EL%20GASTO%202019\AUSTERIDAD%20II%20TRIMESTRE%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pPr>
            <a:r>
              <a:rPr lang="en-US"/>
              <a:t>HORAS EXTRAS 2018 Y 2019</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6666666666666666E-2"/>
                  <c:y val="-1.9102196752626553E-2"/>
                </c:manualLayout>
              </c:layout>
              <c:showLegendKey val="0"/>
              <c:showVal val="1"/>
              <c:showCatName val="0"/>
              <c:showSerName val="0"/>
              <c:showPercent val="0"/>
              <c:showBubbleSize val="0"/>
            </c:dLbl>
            <c:dLbl>
              <c:idx val="1"/>
              <c:layout>
                <c:manualLayout>
                  <c:x val="1.6666666666666718E-2"/>
                  <c:y val="-3.4383954154727794E-2"/>
                </c:manualLayout>
              </c:layout>
              <c:showLegendKey val="0"/>
              <c:showVal val="1"/>
              <c:showCatName val="0"/>
              <c:showSerName val="0"/>
              <c:showPercent val="0"/>
              <c:showBubbleSize val="0"/>
            </c:dLbl>
            <c:dLbl>
              <c:idx val="2"/>
              <c:layout>
                <c:manualLayout>
                  <c:x val="1.6683964400499834E-2"/>
                  <c:y val="-1.5193274753699249E-2"/>
                </c:manualLayout>
              </c:layout>
              <c:showLegendKey val="0"/>
              <c:showVal val="1"/>
              <c:showCatName val="0"/>
              <c:showSerName val="0"/>
              <c:showPercent val="0"/>
              <c:showBubbleSize val="0"/>
            </c:dLbl>
            <c:dLbl>
              <c:idx val="3"/>
              <c:layout>
                <c:manualLayout>
                  <c:x val="1.6666666666666666E-2"/>
                  <c:y val="-2.2922636103151862E-2"/>
                </c:manualLayout>
              </c:layout>
              <c:showLegendKey val="0"/>
              <c:showVal val="1"/>
              <c:showCatName val="0"/>
              <c:showSerName val="0"/>
              <c:showPercent val="0"/>
              <c:showBubbleSize val="0"/>
            </c:dLbl>
            <c:dLbl>
              <c:idx val="4"/>
              <c:layout>
                <c:manualLayout>
                  <c:x val="1.9444225721784877E-2"/>
                  <c:y val="-1.5281757402101241E-2"/>
                </c:manualLayout>
              </c:layout>
              <c:showLegendKey val="0"/>
              <c:showVal val="1"/>
              <c:showCatName val="0"/>
              <c:showSerName val="0"/>
              <c:showPercent val="0"/>
              <c:showBubbleSize val="0"/>
            </c:dLbl>
            <c:numFmt formatCode="#,##0" sourceLinked="0"/>
            <c:txPr>
              <a:bodyPr/>
              <a:lstStyle/>
              <a:p>
                <a:pPr>
                  <a:defRPr sz="800"/>
                </a:pPr>
                <a:endParaRPr lang="es-CO"/>
              </a:p>
            </c:txPr>
            <c:showLegendKey val="0"/>
            <c:showVal val="1"/>
            <c:showCatName val="0"/>
            <c:showSerName val="0"/>
            <c:showPercent val="0"/>
            <c:showBubbleSize val="0"/>
            <c:showLeaderLines val="0"/>
          </c:dLbls>
          <c:cat>
            <c:strRef>
              <c:f>Hoja1!$G$121:$K$121</c:f>
              <c:strCache>
                <c:ptCount val="5"/>
                <c:pt idx="0">
                  <c:v>II TRIMESTRE 2018</c:v>
                </c:pt>
                <c:pt idx="1">
                  <c:v>III TRIMESTRE 2018</c:v>
                </c:pt>
                <c:pt idx="2">
                  <c:v>IV TRIMESTRE 2018</c:v>
                </c:pt>
                <c:pt idx="3">
                  <c:v>I TRIMESTRE 2019</c:v>
                </c:pt>
                <c:pt idx="4">
                  <c:v>II TRIMESTRE 2019</c:v>
                </c:pt>
              </c:strCache>
            </c:strRef>
          </c:cat>
          <c:val>
            <c:numRef>
              <c:f>Hoja1!$G$123:$K$123</c:f>
              <c:numCache>
                <c:formatCode>General</c:formatCode>
                <c:ptCount val="5"/>
                <c:pt idx="0">
                  <c:v>2063052</c:v>
                </c:pt>
                <c:pt idx="1">
                  <c:v>1586708</c:v>
                </c:pt>
                <c:pt idx="2" formatCode="#,##0">
                  <c:v>4905663</c:v>
                </c:pt>
                <c:pt idx="3" formatCode="#,##0">
                  <c:v>1156896</c:v>
                </c:pt>
                <c:pt idx="4" formatCode="#,##0">
                  <c:v>2978423</c:v>
                </c:pt>
              </c:numCache>
            </c:numRef>
          </c:val>
        </c:ser>
        <c:dLbls>
          <c:showLegendKey val="0"/>
          <c:showVal val="0"/>
          <c:showCatName val="0"/>
          <c:showSerName val="0"/>
          <c:showPercent val="0"/>
          <c:showBubbleSize val="0"/>
        </c:dLbls>
        <c:gapWidth val="75"/>
        <c:shape val="box"/>
        <c:axId val="198142208"/>
        <c:axId val="198144000"/>
        <c:axId val="0"/>
      </c:bar3DChart>
      <c:catAx>
        <c:axId val="198142208"/>
        <c:scaling>
          <c:orientation val="minMax"/>
        </c:scaling>
        <c:delete val="0"/>
        <c:axPos val="b"/>
        <c:numFmt formatCode="General" sourceLinked="1"/>
        <c:majorTickMark val="none"/>
        <c:minorTickMark val="none"/>
        <c:tickLblPos val="nextTo"/>
        <c:crossAx val="198144000"/>
        <c:crosses val="autoZero"/>
        <c:auto val="1"/>
        <c:lblAlgn val="ctr"/>
        <c:lblOffset val="100"/>
        <c:noMultiLvlLbl val="0"/>
      </c:catAx>
      <c:valAx>
        <c:axId val="198144000"/>
        <c:scaling>
          <c:orientation val="minMax"/>
        </c:scaling>
        <c:delete val="0"/>
        <c:axPos val="l"/>
        <c:majorGridlines/>
        <c:numFmt formatCode="General" sourceLinked="1"/>
        <c:majorTickMark val="none"/>
        <c:minorTickMark val="none"/>
        <c:tickLblPos val="nextTo"/>
        <c:spPr>
          <a:ln w="9525">
            <a:noFill/>
          </a:ln>
        </c:spPr>
        <c:crossAx val="1981422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sz="1600"/>
            </a:pPr>
            <a:r>
              <a:rPr lang="en-US" sz="1600"/>
              <a:t>VIATICOS Y GASTOS DE VIAJE 2018 Y 2019</a:t>
            </a:r>
          </a:p>
        </c:rich>
      </c:tx>
      <c:layout>
        <c:manualLayout>
          <c:xMode val="edge"/>
          <c:yMode val="edge"/>
          <c:x val="0.12539588801399826"/>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spPr>
            <a:solidFill>
              <a:schemeClr val="accent2">
                <a:lumMod val="75000"/>
              </a:schemeClr>
            </a:solidFill>
          </c:spPr>
          <c:invertIfNegative val="0"/>
          <c:dLbls>
            <c:numFmt formatCode="#,##0" sourceLinked="0"/>
            <c:txPr>
              <a:bodyPr/>
              <a:lstStyle/>
              <a:p>
                <a:pPr>
                  <a:defRPr b="1"/>
                </a:pPr>
                <a:endParaRPr lang="es-CO"/>
              </a:p>
            </c:txPr>
            <c:showLegendKey val="0"/>
            <c:showVal val="1"/>
            <c:showCatName val="0"/>
            <c:showSerName val="0"/>
            <c:showPercent val="0"/>
            <c:showBubbleSize val="0"/>
            <c:showLeaderLines val="0"/>
          </c:dLbls>
          <c:cat>
            <c:strRef>
              <c:f>Hoja1!$G$121:$K$121</c:f>
              <c:strCache>
                <c:ptCount val="5"/>
                <c:pt idx="0">
                  <c:v>II TRIMESTRE 2018</c:v>
                </c:pt>
                <c:pt idx="1">
                  <c:v>III TRIMESTRE 2018</c:v>
                </c:pt>
                <c:pt idx="2">
                  <c:v>IV TRIMESTRE 2018</c:v>
                </c:pt>
                <c:pt idx="3">
                  <c:v>I TRIMESTRE 2019</c:v>
                </c:pt>
                <c:pt idx="4">
                  <c:v>II TRIMESTRE 2019</c:v>
                </c:pt>
              </c:strCache>
            </c:strRef>
          </c:cat>
          <c:val>
            <c:numRef>
              <c:f>Hoja1!$G$122:$K$122</c:f>
              <c:numCache>
                <c:formatCode>#,##0</c:formatCode>
                <c:ptCount val="5"/>
                <c:pt idx="0">
                  <c:v>33492843</c:v>
                </c:pt>
                <c:pt idx="1">
                  <c:v>53188636</c:v>
                </c:pt>
                <c:pt idx="2">
                  <c:v>4033895</c:v>
                </c:pt>
                <c:pt idx="3">
                  <c:v>10463290</c:v>
                </c:pt>
                <c:pt idx="4">
                  <c:v>8517226</c:v>
                </c:pt>
              </c:numCache>
            </c:numRef>
          </c:val>
        </c:ser>
        <c:dLbls>
          <c:showLegendKey val="0"/>
          <c:showVal val="0"/>
          <c:showCatName val="0"/>
          <c:showSerName val="0"/>
          <c:showPercent val="0"/>
          <c:showBubbleSize val="0"/>
        </c:dLbls>
        <c:gapWidth val="150"/>
        <c:shape val="box"/>
        <c:axId val="198271360"/>
        <c:axId val="198272896"/>
        <c:axId val="0"/>
      </c:bar3DChart>
      <c:catAx>
        <c:axId val="198271360"/>
        <c:scaling>
          <c:orientation val="minMax"/>
        </c:scaling>
        <c:delete val="0"/>
        <c:axPos val="b"/>
        <c:numFmt formatCode="General" sourceLinked="1"/>
        <c:majorTickMark val="out"/>
        <c:minorTickMark val="none"/>
        <c:tickLblPos val="nextTo"/>
        <c:crossAx val="198272896"/>
        <c:crosses val="autoZero"/>
        <c:auto val="1"/>
        <c:lblAlgn val="ctr"/>
        <c:lblOffset val="100"/>
        <c:noMultiLvlLbl val="0"/>
      </c:catAx>
      <c:valAx>
        <c:axId val="198272896"/>
        <c:scaling>
          <c:orientation val="minMax"/>
        </c:scaling>
        <c:delete val="0"/>
        <c:axPos val="l"/>
        <c:majorGridlines/>
        <c:numFmt formatCode="#,##0" sourceLinked="0"/>
        <c:majorTickMark val="out"/>
        <c:minorTickMark val="none"/>
        <c:tickLblPos val="nextTo"/>
        <c:crossAx val="1982713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pPr>
            <a:r>
              <a:rPr lang="es-CO"/>
              <a:t>GASTOS DE IMPRESOS PUBLICIDAD Y PUBLICACIONES</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TOTAL PUBLICIDAD</c:v>
          </c:tx>
          <c:invertIfNegative val="0"/>
          <c:dLbls>
            <c:dLbl>
              <c:idx val="0"/>
              <c:layout>
                <c:manualLayout>
                  <c:x val="2.5115842983688758E-2"/>
                  <c:y val="-2.2925672186010059E-2"/>
                </c:manualLayout>
              </c:layout>
              <c:showLegendKey val="0"/>
              <c:showVal val="1"/>
              <c:showCatName val="0"/>
              <c:showSerName val="0"/>
              <c:showPercent val="0"/>
              <c:showBubbleSize val="0"/>
            </c:dLbl>
            <c:dLbl>
              <c:idx val="1"/>
              <c:layout>
                <c:manualLayout>
                  <c:x val="1.4222220894980844E-2"/>
                  <c:y val="-2.7777777777777821E-2"/>
                </c:manualLayout>
              </c:layout>
              <c:showLegendKey val="0"/>
              <c:showVal val="1"/>
              <c:showCatName val="0"/>
              <c:showSerName val="0"/>
              <c:showPercent val="0"/>
              <c:showBubbleSize val="0"/>
            </c:dLbl>
            <c:dLbl>
              <c:idx val="2"/>
              <c:layout>
                <c:manualLayout>
                  <c:x val="2.5115805283546355E-2"/>
                  <c:y val="-1.4055633310259035E-2"/>
                </c:manualLayout>
              </c:layout>
              <c:showLegendKey val="0"/>
              <c:showVal val="1"/>
              <c:showCatName val="0"/>
              <c:showSerName val="0"/>
              <c:showPercent val="0"/>
              <c:showBubbleSize val="0"/>
            </c:dLbl>
            <c:dLbl>
              <c:idx val="3"/>
              <c:layout>
                <c:manualLayout>
                  <c:x val="1.6517548703285721E-2"/>
                  <c:y val="-9.2592592592591737E-3"/>
                </c:manualLayout>
              </c:layout>
              <c:showLegendKey val="0"/>
              <c:showVal val="1"/>
              <c:showCatName val="0"/>
              <c:showSerName val="0"/>
              <c:showPercent val="0"/>
              <c:showBubbleSize val="0"/>
            </c:dLbl>
            <c:dLbl>
              <c:idx val="4"/>
              <c:layout>
                <c:manualLayout>
                  <c:x val="1.6517548703285721E-2"/>
                  <c:y val="-3.703703703703703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Hoja1!$B$22:$F$22</c:f>
              <c:strCache>
                <c:ptCount val="5"/>
                <c:pt idx="0">
                  <c:v>Segundo Trimestre 2017</c:v>
                </c:pt>
                <c:pt idx="1">
                  <c:v>Segundo Trimestre 2018</c:v>
                </c:pt>
                <c:pt idx="2">
                  <c:v>Segundo Trimestre 2019</c:v>
                </c:pt>
                <c:pt idx="3">
                  <c:v>VARIACION</c:v>
                </c:pt>
                <c:pt idx="4">
                  <c:v>VARIACION %</c:v>
                </c:pt>
              </c:strCache>
            </c:strRef>
          </c:cat>
          <c:val>
            <c:numRef>
              <c:f>Hoja1!$B$28:$F$28</c:f>
              <c:numCache>
                <c:formatCode>#,##0</c:formatCode>
                <c:ptCount val="5"/>
                <c:pt idx="0">
                  <c:v>193020186</c:v>
                </c:pt>
                <c:pt idx="1">
                  <c:v>289986876</c:v>
                </c:pt>
                <c:pt idx="2">
                  <c:v>103071186</c:v>
                </c:pt>
                <c:pt idx="3">
                  <c:v>-186915690</c:v>
                </c:pt>
                <c:pt idx="4" formatCode="0.00%">
                  <c:v>-0.64456603201587648</c:v>
                </c:pt>
              </c:numCache>
            </c:numRef>
          </c:val>
        </c:ser>
        <c:dLbls>
          <c:showLegendKey val="0"/>
          <c:showVal val="0"/>
          <c:showCatName val="0"/>
          <c:showSerName val="0"/>
          <c:showPercent val="0"/>
          <c:showBubbleSize val="0"/>
        </c:dLbls>
        <c:gapWidth val="150"/>
        <c:shape val="box"/>
        <c:axId val="198306048"/>
        <c:axId val="198307840"/>
        <c:axId val="0"/>
      </c:bar3DChart>
      <c:catAx>
        <c:axId val="198306048"/>
        <c:scaling>
          <c:orientation val="minMax"/>
        </c:scaling>
        <c:delete val="0"/>
        <c:axPos val="b"/>
        <c:numFmt formatCode="General" sourceLinked="1"/>
        <c:majorTickMark val="out"/>
        <c:minorTickMark val="none"/>
        <c:tickLblPos val="nextTo"/>
        <c:crossAx val="198307840"/>
        <c:crosses val="autoZero"/>
        <c:auto val="1"/>
        <c:lblAlgn val="ctr"/>
        <c:lblOffset val="100"/>
        <c:noMultiLvlLbl val="0"/>
      </c:catAx>
      <c:valAx>
        <c:axId val="198307840"/>
        <c:scaling>
          <c:orientation val="minMax"/>
        </c:scaling>
        <c:delete val="0"/>
        <c:axPos val="l"/>
        <c:majorGridlines/>
        <c:numFmt formatCode="#,##0" sourceLinked="1"/>
        <c:majorTickMark val="out"/>
        <c:minorTickMark val="none"/>
        <c:tickLblPos val="nextTo"/>
        <c:crossAx val="1983060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es-CO" sz="1400"/>
              <a:t>MANTENIMIENTO  DE  BIENES  Y SERVICIO DE  VIGILANCIA Y ASEO</a:t>
            </a:r>
          </a:p>
        </c:rich>
      </c:tx>
      <c:layout>
        <c:manualLayout>
          <c:xMode val="edge"/>
          <c:yMode val="edge"/>
          <c:x val="0.14568986065840114"/>
          <c:y val="4.4437079022384772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2598870056497175E-2"/>
          <c:y val="0.13342328697773648"/>
          <c:w val="0.88635858114037747"/>
          <c:h val="0.75878495220072428"/>
        </c:manualLayout>
      </c:layout>
      <c:bar3DChart>
        <c:barDir val="col"/>
        <c:grouping val="clustered"/>
        <c:varyColors val="0"/>
        <c:ser>
          <c:idx val="0"/>
          <c:order val="0"/>
          <c:tx>
            <c:strRef>
              <c:f>Hoja1!$A$152</c:f>
              <c:strCache>
                <c:ptCount val="1"/>
                <c:pt idx="0">
                  <c:v>MANTENIMIENTO DE MOBILIARIO Y EQUIPO</c:v>
                </c:pt>
              </c:strCache>
            </c:strRef>
          </c:tx>
          <c:invertIfNegative val="0"/>
          <c:dLbls>
            <c:dLbl>
              <c:idx val="0"/>
              <c:layout>
                <c:manualLayout>
                  <c:x val="-1.8489984591679508E-2"/>
                  <c:y val="0"/>
                </c:manualLayout>
              </c:layout>
              <c:showLegendKey val="0"/>
              <c:showVal val="1"/>
              <c:showCatName val="0"/>
              <c:showSerName val="0"/>
              <c:showPercent val="0"/>
              <c:showBubbleSize val="0"/>
            </c:dLbl>
            <c:dLbl>
              <c:idx val="1"/>
              <c:layout>
                <c:manualLayout>
                  <c:x val="6.1633281972265025E-3"/>
                  <c:y val="3.9100672223682936E-3"/>
                </c:manualLayout>
              </c:layout>
              <c:showLegendKey val="0"/>
              <c:showVal val="1"/>
              <c:showCatName val="0"/>
              <c:showSerName val="0"/>
              <c:showPercent val="0"/>
              <c:showBubbleSize val="0"/>
            </c:dLbl>
            <c:dLbl>
              <c:idx val="3"/>
              <c:layout>
                <c:manualLayout>
                  <c:x val="-9.7882024565660412E-3"/>
                  <c:y val="5.546673627198277E-3"/>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Hoja1!$G$151:$K$151</c:f>
              <c:strCache>
                <c:ptCount val="5"/>
                <c:pt idx="0">
                  <c:v>II TRIMESTRE 2018</c:v>
                </c:pt>
                <c:pt idx="1">
                  <c:v>III TRIMESTRE 2018</c:v>
                </c:pt>
                <c:pt idx="2">
                  <c:v>IV TRIMESTRE 2018</c:v>
                </c:pt>
                <c:pt idx="3">
                  <c:v>I TRIMESTRE 2019</c:v>
                </c:pt>
                <c:pt idx="4">
                  <c:v>II TRIMESTRE 2019</c:v>
                </c:pt>
              </c:strCache>
            </c:strRef>
          </c:cat>
          <c:val>
            <c:numRef>
              <c:f>Hoja1!$G$152:$K$152</c:f>
              <c:numCache>
                <c:formatCode>"$"\ #,##0</c:formatCode>
                <c:ptCount val="5"/>
                <c:pt idx="0">
                  <c:v>14023620</c:v>
                </c:pt>
                <c:pt idx="1">
                  <c:v>413500</c:v>
                </c:pt>
                <c:pt idx="2" formatCode="#,##0">
                  <c:v>0</c:v>
                </c:pt>
                <c:pt idx="3" formatCode="#,##0">
                  <c:v>1354269</c:v>
                </c:pt>
                <c:pt idx="4" formatCode="#,##0">
                  <c:v>650200</c:v>
                </c:pt>
              </c:numCache>
            </c:numRef>
          </c:val>
        </c:ser>
        <c:ser>
          <c:idx val="1"/>
          <c:order val="1"/>
          <c:tx>
            <c:strRef>
              <c:f>Hoja1!$A$153</c:f>
              <c:strCache>
                <c:ptCount val="1"/>
                <c:pt idx="0">
                  <c:v>MANTENIMIENTO DE EDIFICACIONES</c:v>
                </c:pt>
              </c:strCache>
            </c:strRef>
          </c:tx>
          <c:invertIfNegative val="0"/>
          <c:dLbls>
            <c:dLbl>
              <c:idx val="0"/>
              <c:layout>
                <c:manualLayout>
                  <c:x val="1.2326656394453005E-2"/>
                  <c:y val="-1.9550336111841468E-2"/>
                </c:manualLayout>
              </c:layout>
              <c:showLegendKey val="0"/>
              <c:showVal val="1"/>
              <c:showCatName val="0"/>
              <c:showSerName val="0"/>
              <c:showPercent val="0"/>
              <c:showBubbleSize val="0"/>
            </c:dLbl>
            <c:dLbl>
              <c:idx val="1"/>
              <c:layout>
                <c:manualLayout>
                  <c:x val="2.8762198253723677E-2"/>
                  <c:y val="0"/>
                </c:manualLayout>
              </c:layout>
              <c:showLegendKey val="0"/>
              <c:showVal val="1"/>
              <c:showCatName val="0"/>
              <c:showSerName val="0"/>
              <c:showPercent val="0"/>
              <c:showBubbleSize val="0"/>
            </c:dLbl>
            <c:dLbl>
              <c:idx val="2"/>
              <c:layout>
                <c:manualLayout>
                  <c:x val="0"/>
                  <c:y val="-2.5764888796356196E-2"/>
                </c:manualLayout>
              </c:layout>
              <c:showLegendKey val="0"/>
              <c:showVal val="1"/>
              <c:showCatName val="0"/>
              <c:showSerName val="0"/>
              <c:showPercent val="0"/>
              <c:showBubbleSize val="0"/>
            </c:dLbl>
            <c:dLbl>
              <c:idx val="3"/>
              <c:layout>
                <c:manualLayout>
                  <c:x val="1.438098183346417E-2"/>
                  <c:y val="-2.0050120037595289E-2"/>
                </c:manualLayout>
              </c:layout>
              <c:showLegendKey val="0"/>
              <c:showVal val="1"/>
              <c:showCatName val="0"/>
              <c:showSerName val="0"/>
              <c:showPercent val="0"/>
              <c:showBubbleSize val="0"/>
            </c:dLbl>
            <c:dLbl>
              <c:idx val="4"/>
              <c:layout>
                <c:manualLayout>
                  <c:x val="1.0876247420944041E-3"/>
                  <c:y val="-3.6758553402258032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Hoja1!$G$151:$K$151</c:f>
              <c:strCache>
                <c:ptCount val="5"/>
                <c:pt idx="0">
                  <c:v>II TRIMESTRE 2018</c:v>
                </c:pt>
                <c:pt idx="1">
                  <c:v>III TRIMESTRE 2018</c:v>
                </c:pt>
                <c:pt idx="2">
                  <c:v>IV TRIMESTRE 2018</c:v>
                </c:pt>
                <c:pt idx="3">
                  <c:v>I TRIMESTRE 2019</c:v>
                </c:pt>
                <c:pt idx="4">
                  <c:v>II TRIMESTRE 2019</c:v>
                </c:pt>
              </c:strCache>
            </c:strRef>
          </c:cat>
          <c:val>
            <c:numRef>
              <c:f>Hoja1!$G$153:$K$153</c:f>
              <c:numCache>
                <c:formatCode>"$"\ #,##0</c:formatCode>
                <c:ptCount val="5"/>
                <c:pt idx="0">
                  <c:v>3419349</c:v>
                </c:pt>
                <c:pt idx="1">
                  <c:v>1053000</c:v>
                </c:pt>
                <c:pt idx="2" formatCode="#,##0">
                  <c:v>2688001</c:v>
                </c:pt>
                <c:pt idx="3" formatCode="#,##0">
                  <c:v>2180884</c:v>
                </c:pt>
                <c:pt idx="4" formatCode="#,##0">
                  <c:v>1087500</c:v>
                </c:pt>
              </c:numCache>
            </c:numRef>
          </c:val>
        </c:ser>
        <c:ser>
          <c:idx val="2"/>
          <c:order val="2"/>
          <c:tx>
            <c:strRef>
              <c:f>Hoja1!$A$154</c:f>
              <c:strCache>
                <c:ptCount val="1"/>
                <c:pt idx="0">
                  <c:v>CONTRATO VIGILANCIA Y ASEO</c:v>
                </c:pt>
              </c:strCache>
            </c:strRef>
          </c:tx>
          <c:invertIfNegative val="0"/>
          <c:dLbls>
            <c:dLbl>
              <c:idx val="2"/>
              <c:layout>
                <c:manualLayout>
                  <c:x val="1.8489984591679508E-2"/>
                  <c:y val="-7.8201344447365873E-3"/>
                </c:manualLayout>
              </c:layout>
              <c:showLegendKey val="0"/>
              <c:showVal val="1"/>
              <c:showCatName val="0"/>
              <c:showSerName val="0"/>
              <c:showPercent val="0"/>
              <c:showBubbleSize val="0"/>
            </c:dLbl>
            <c:dLbl>
              <c:idx val="3"/>
              <c:layout>
                <c:manualLayout>
                  <c:x val="2.4982753288769416E-3"/>
                  <c:y val="-1.2298459456131285E-2"/>
                </c:manualLayout>
              </c:layout>
              <c:showLegendKey val="0"/>
              <c:showVal val="1"/>
              <c:showCatName val="0"/>
              <c:showSerName val="0"/>
              <c:showPercent val="0"/>
              <c:showBubbleSize val="0"/>
            </c:dLbl>
            <c:dLbl>
              <c:idx val="4"/>
              <c:layout>
                <c:manualLayout>
                  <c:x val="8.9126559714795012E-3"/>
                  <c:y val="-1.6708433364662743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Hoja1!$G$151:$K$151</c:f>
              <c:strCache>
                <c:ptCount val="5"/>
                <c:pt idx="0">
                  <c:v>II TRIMESTRE 2018</c:v>
                </c:pt>
                <c:pt idx="1">
                  <c:v>III TRIMESTRE 2018</c:v>
                </c:pt>
                <c:pt idx="2">
                  <c:v>IV TRIMESTRE 2018</c:v>
                </c:pt>
                <c:pt idx="3">
                  <c:v>I TRIMESTRE 2019</c:v>
                </c:pt>
                <c:pt idx="4">
                  <c:v>II TRIMESTRE 2019</c:v>
                </c:pt>
              </c:strCache>
            </c:strRef>
          </c:cat>
          <c:val>
            <c:numRef>
              <c:f>Hoja1!$G$154:$K$154</c:f>
              <c:numCache>
                <c:formatCode>"$"\ #,##0</c:formatCode>
                <c:ptCount val="5"/>
                <c:pt idx="0">
                  <c:v>72745096</c:v>
                </c:pt>
                <c:pt idx="1">
                  <c:v>7146729</c:v>
                </c:pt>
                <c:pt idx="2" formatCode="#,##0">
                  <c:v>22174504</c:v>
                </c:pt>
                <c:pt idx="3" formatCode="#,##0">
                  <c:v>123172934</c:v>
                </c:pt>
                <c:pt idx="4" formatCode="#,##0">
                  <c:v>0</c:v>
                </c:pt>
              </c:numCache>
            </c:numRef>
          </c:val>
        </c:ser>
        <c:dLbls>
          <c:showLegendKey val="0"/>
          <c:showVal val="0"/>
          <c:showCatName val="0"/>
          <c:showSerName val="0"/>
          <c:showPercent val="0"/>
          <c:showBubbleSize val="0"/>
        </c:dLbls>
        <c:gapWidth val="150"/>
        <c:shape val="box"/>
        <c:axId val="198482560"/>
        <c:axId val="199831936"/>
        <c:axId val="0"/>
      </c:bar3DChart>
      <c:catAx>
        <c:axId val="198482560"/>
        <c:scaling>
          <c:orientation val="minMax"/>
        </c:scaling>
        <c:delete val="0"/>
        <c:axPos val="b"/>
        <c:majorTickMark val="out"/>
        <c:minorTickMark val="none"/>
        <c:tickLblPos val="nextTo"/>
        <c:txPr>
          <a:bodyPr/>
          <a:lstStyle/>
          <a:p>
            <a:pPr>
              <a:defRPr sz="900"/>
            </a:pPr>
            <a:endParaRPr lang="es-CO"/>
          </a:p>
        </c:txPr>
        <c:crossAx val="199831936"/>
        <c:crosses val="autoZero"/>
        <c:auto val="1"/>
        <c:lblAlgn val="ctr"/>
        <c:lblOffset val="100"/>
        <c:noMultiLvlLbl val="0"/>
      </c:catAx>
      <c:valAx>
        <c:axId val="199831936"/>
        <c:scaling>
          <c:orientation val="minMax"/>
        </c:scaling>
        <c:delete val="1"/>
        <c:axPos val="l"/>
        <c:majorGridlines/>
        <c:numFmt formatCode="&quot;$&quot;\ #,##0" sourceLinked="1"/>
        <c:majorTickMark val="out"/>
        <c:minorTickMark val="none"/>
        <c:tickLblPos val="nextTo"/>
        <c:crossAx val="198482560"/>
        <c:crosses val="autoZero"/>
        <c:crossBetween val="between"/>
      </c:valAx>
    </c:plotArea>
    <c:legend>
      <c:legendPos val="r"/>
      <c:layout>
        <c:manualLayout>
          <c:xMode val="edge"/>
          <c:yMode val="edge"/>
          <c:x val="6.0451387426839025E-2"/>
          <c:y val="0.13679470676831007"/>
          <c:w val="0.35583518945982501"/>
          <c:h val="0.29145718958317429"/>
        </c:manualLayout>
      </c:layout>
      <c:overlay val="0"/>
      <c:txPr>
        <a:bodyPr/>
        <a:lstStyle/>
        <a:p>
          <a:pPr>
            <a:defRPr sz="900"/>
          </a:pPr>
          <a:endParaRPr lang="es-CO"/>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2"/>
              <c:layout>
                <c:manualLayout>
                  <c:x val="1.1688310493065703E-2"/>
                  <c:y val="-1.0112361339885223E-2"/>
                </c:manualLayout>
              </c:layout>
              <c:showLegendKey val="0"/>
              <c:showVal val="1"/>
              <c:showCatName val="0"/>
              <c:showSerName val="0"/>
              <c:showPercent val="0"/>
              <c:showBubbleSize val="0"/>
            </c:dLbl>
            <c:dLbl>
              <c:idx val="3"/>
              <c:layout>
                <c:manualLayout>
                  <c:x val="1.3636362241909986E-2"/>
                  <c:y val="-1.0112361339885223E-2"/>
                </c:manualLayout>
              </c:layout>
              <c:showLegendKey val="0"/>
              <c:showVal val="1"/>
              <c:showCatName val="0"/>
              <c:showSerName val="0"/>
              <c:showPercent val="0"/>
              <c:showBubbleSize val="0"/>
            </c:dLbl>
            <c:dLbl>
              <c:idx val="6"/>
              <c:layout>
                <c:manualLayout>
                  <c:x val="9.7402587442214188E-3"/>
                  <c:y val="-1.6853935566475374E-2"/>
                </c:manualLayout>
              </c:layout>
              <c:showLegendKey val="0"/>
              <c:showVal val="1"/>
              <c:showCatName val="0"/>
              <c:showSerName val="0"/>
              <c:showPercent val="0"/>
              <c:showBubbleSize val="0"/>
            </c:dLbl>
            <c:txPr>
              <a:bodyPr/>
              <a:lstStyle/>
              <a:p>
                <a:pPr>
                  <a:defRPr b="1"/>
                </a:pPr>
                <a:endParaRPr lang="es-CO"/>
              </a:p>
            </c:txPr>
            <c:showLegendKey val="0"/>
            <c:showVal val="1"/>
            <c:showCatName val="0"/>
            <c:showSerName val="0"/>
            <c:showPercent val="0"/>
            <c:showBubbleSize val="0"/>
            <c:showLeaderLines val="0"/>
          </c:dLbls>
          <c:cat>
            <c:strRef>
              <c:f>Hoja1!$A$118:$A$123</c:f>
              <c:strCache>
                <c:ptCount val="6"/>
                <c:pt idx="0">
                  <c:v>I TRIMESTRE 2018</c:v>
                </c:pt>
                <c:pt idx="1">
                  <c:v>II TRIMESTRE 2018</c:v>
                </c:pt>
                <c:pt idx="2">
                  <c:v>III TRIMESTRE 2018</c:v>
                </c:pt>
                <c:pt idx="3">
                  <c:v>IV TRIMESTRE 2018</c:v>
                </c:pt>
                <c:pt idx="4">
                  <c:v>I TRIMESTRE DE 2019</c:v>
                </c:pt>
                <c:pt idx="5">
                  <c:v>II TRIMESTRE DE 2019</c:v>
                </c:pt>
              </c:strCache>
            </c:strRef>
          </c:cat>
          <c:val>
            <c:numRef>
              <c:f>Hoja1!$B$118:$B$123</c:f>
              <c:numCache>
                <c:formatCode>#,##0</c:formatCode>
                <c:ptCount val="6"/>
                <c:pt idx="0">
                  <c:v>2373970</c:v>
                </c:pt>
                <c:pt idx="1">
                  <c:v>2930490</c:v>
                </c:pt>
                <c:pt idx="2">
                  <c:v>3030640</c:v>
                </c:pt>
                <c:pt idx="3">
                  <c:v>2807220</c:v>
                </c:pt>
                <c:pt idx="4">
                  <c:v>2884350</c:v>
                </c:pt>
                <c:pt idx="5">
                  <c:v>2373615</c:v>
                </c:pt>
              </c:numCache>
            </c:numRef>
          </c:val>
        </c:ser>
        <c:dLbls>
          <c:showLegendKey val="0"/>
          <c:showVal val="0"/>
          <c:showCatName val="0"/>
          <c:showSerName val="0"/>
          <c:showPercent val="0"/>
          <c:showBubbleSize val="0"/>
        </c:dLbls>
        <c:gapWidth val="150"/>
        <c:shape val="box"/>
        <c:axId val="203658368"/>
        <c:axId val="203659904"/>
        <c:axId val="0"/>
      </c:bar3DChart>
      <c:catAx>
        <c:axId val="203658368"/>
        <c:scaling>
          <c:orientation val="minMax"/>
        </c:scaling>
        <c:delete val="0"/>
        <c:axPos val="b"/>
        <c:majorTickMark val="out"/>
        <c:minorTickMark val="none"/>
        <c:tickLblPos val="nextTo"/>
        <c:crossAx val="203659904"/>
        <c:crosses val="autoZero"/>
        <c:auto val="1"/>
        <c:lblAlgn val="ctr"/>
        <c:lblOffset val="100"/>
        <c:noMultiLvlLbl val="0"/>
      </c:catAx>
      <c:valAx>
        <c:axId val="203659904"/>
        <c:scaling>
          <c:orientation val="minMax"/>
        </c:scaling>
        <c:delete val="0"/>
        <c:axPos val="l"/>
        <c:majorGridlines/>
        <c:numFmt formatCode="#,##0" sourceLinked="1"/>
        <c:majorTickMark val="out"/>
        <c:minorTickMark val="none"/>
        <c:tickLblPos val="nextTo"/>
        <c:crossAx val="2036583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4A2B-BA85-456F-83EF-012ADBA3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16156</TotalTime>
  <Pages>13</Pages>
  <Words>2847</Words>
  <Characters>15662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Control Interno</dc:creator>
  <cp:lastModifiedBy>Control Interno</cp:lastModifiedBy>
  <cp:revision>58</cp:revision>
  <cp:lastPrinted>2018-11-22T14:06:00Z</cp:lastPrinted>
  <dcterms:created xsi:type="dcterms:W3CDTF">2019-07-05T21:16:00Z</dcterms:created>
  <dcterms:modified xsi:type="dcterms:W3CDTF">2019-09-09T22:30:00Z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2018-02-22T00:00:00Z</vt:filetime>
  </property>
</Properties>
</file>